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사내 AI 사용 정책 v0.1 (템플릿)</w:t>
      </w:r>
    </w:p>
    <w:p>
      <w:pPr>
        <w:jc w:val="center"/>
      </w:pPr>
      <w:r>
        <w:rPr>
          <w:i/>
          <w:color w:val="6B7280"/>
          <w:sz w:val="20"/>
        </w:rPr>
        <w:t>문서번호: [POL-AI-001]    ·    적용일: [YYYY-MM-DD]    ·    소관부서: [정보보호팀]</w:t>
      </w:r>
    </w:p>
    <w:p/>
    <w:p>
      <w:pPr>
        <w:pStyle w:val="Heading1"/>
      </w:pPr>
      <w:r>
        <w:t>1. 목적과 범위</w:t>
      </w:r>
    </w:p>
    <w:p>
      <w:r>
        <w:t>[회사명]은 AI 도구의 안전하고 효과적인 사용을 위해 본 정책을 수립합니다. 본 정책은 사내·외부에서 사용되는 모든 생성형 AI 도구 및 LLM 기반 서비스에 적용되며, 기밀 데이터 보호, 법적 리스크 최소화, 산출물 품질 확보를 목적으로 합니다.</w:t>
      </w:r>
    </w:p>
    <w:p>
      <w:pPr>
        <w:pStyle w:val="Heading1"/>
      </w:pPr>
      <w:r>
        <w:t>2. 적용 대상</w:t>
      </w:r>
    </w:p>
    <w:p>
      <w:r>
        <w:t>전 임직원 및 [범위 — 정규직 / 계약직 / 외부 파트너 / 외주 인력 / 인턴] 중 사내 시스템 또는 사내 데이터에 접근하는 모든 인력에 적용됩니다.</w:t>
      </w:r>
    </w:p>
    <w:p>
      <w:pPr>
        <w:pStyle w:val="Heading1"/>
      </w:pPr>
      <w:r>
        <w:t>3. 데이터 등급 분류</w:t>
      </w:r>
    </w:p>
    <w:p>
      <w:r>
        <w:t>회사가 보유한 모든 데이터는 4개 등급으로 분류됩니다. 각 등급의 정의는 사내 정보보호 규정에 따릅니다.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명칭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정의 (사내 채워 넣기)</w:t>
            </w:r>
          </w:p>
        </w:tc>
      </w:tr>
      <w:tr>
        <w:tc>
          <w:tcPr>
            <w:tcW w:type="dxa" w:w="3120"/>
          </w:tcPr>
          <w:p>
            <w:r>
              <w:t>Lv1</w:t>
            </w:r>
          </w:p>
        </w:tc>
        <w:tc>
          <w:tcPr>
            <w:tcW w:type="dxa" w:w="3120"/>
          </w:tcPr>
          <w:p>
            <w:r>
              <w:t>공개</w:t>
            </w:r>
          </w:p>
        </w:tc>
        <w:tc>
          <w:tcPr>
            <w:tcW w:type="dxa" w:w="3120"/>
          </w:tcPr>
          <w:p>
            <w:r>
              <w:t>[ 예: 보도자료, 공식 웹사이트 콘텐츠 등 외부 공개 가능 정보 ]</w:t>
            </w:r>
          </w:p>
        </w:tc>
      </w:tr>
      <w:tr>
        <w:tc>
          <w:tcPr>
            <w:tcW w:type="dxa" w:w="3120"/>
          </w:tcPr>
          <w:p>
            <w:r>
              <w:t>Lv2</w:t>
            </w:r>
          </w:p>
        </w:tc>
        <w:tc>
          <w:tcPr>
            <w:tcW w:type="dxa" w:w="3120"/>
          </w:tcPr>
          <w:p>
            <w:r>
              <w:t>내부</w:t>
            </w:r>
          </w:p>
        </w:tc>
        <w:tc>
          <w:tcPr>
            <w:tcW w:type="dxa" w:w="3120"/>
          </w:tcPr>
          <w:p>
            <w:r>
              <w:t>[ 예: 사내 공지, 일반 업무 자료 등 사내 한정 정보 ]</w:t>
            </w:r>
          </w:p>
        </w:tc>
      </w:tr>
      <w:tr>
        <w:tc>
          <w:tcPr>
            <w:tcW w:type="dxa" w:w="3120"/>
          </w:tcPr>
          <w:p>
            <w:r>
              <w:t>Lv3</w:t>
            </w:r>
          </w:p>
        </w:tc>
        <w:tc>
          <w:tcPr>
            <w:tcW w:type="dxa" w:w="3120"/>
          </w:tcPr>
          <w:p>
            <w:r>
              <w:t>기밀</w:t>
            </w:r>
          </w:p>
        </w:tc>
        <w:tc>
          <w:tcPr>
            <w:tcW w:type="dxa" w:w="3120"/>
          </w:tcPr>
          <w:p>
            <w:r>
              <w:t>[ 예: 고객 데이터, 미공개 재무, 전략 문서 등 부서/프로젝트 한정 ]</w:t>
            </w:r>
          </w:p>
        </w:tc>
      </w:tr>
      <w:tr>
        <w:tc>
          <w:tcPr>
            <w:tcW w:type="dxa" w:w="3120"/>
          </w:tcPr>
          <w:p>
            <w:r>
              <w:t>Lv4</w:t>
            </w:r>
          </w:p>
        </w:tc>
        <w:tc>
          <w:tcPr>
            <w:tcW w:type="dxa" w:w="3120"/>
          </w:tcPr>
          <w:p>
            <w:r>
              <w:t>극비</w:t>
            </w:r>
          </w:p>
        </w:tc>
        <w:tc>
          <w:tcPr>
            <w:tcW w:type="dxa" w:w="3120"/>
          </w:tcPr>
          <w:p>
            <w:r>
              <w:t>[ 예: M&amp;A, 미공개 인사, 법적 보호 대상 등 임원 한정 ]</w:t>
            </w:r>
          </w:p>
        </w:tc>
      </w:tr>
    </w:tbl>
    <w:p>
      <w:pPr>
        <w:pStyle w:val="Heading1"/>
      </w:pPr>
      <w:r>
        <w:t>4. 승인된 도구</w:t>
      </w:r>
    </w:p>
    <w:p>
      <w:r>
        <w:t>아래 도구만 사내 업무에 사용할 수 있습니다. 신규 도구 도입은 정보보호팀의 승인을 거쳐야 하며, 각 도구별 사용 가능 데이터 등급을 준수해야 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도구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사용 가능 등급</w:t>
            </w:r>
          </w:p>
        </w:tc>
        <w:tc>
          <w:tcPr>
            <w:tcW w:type="dxa" w:w="234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40"/>
          </w:tcPr>
          <w:p>
            <w:r>
              <w:t>Claude</w:t>
            </w:r>
          </w:p>
        </w:tc>
        <w:tc>
          <w:tcPr>
            <w:tcW w:type="dxa" w:w="2340"/>
          </w:tcPr>
          <w:p>
            <w:r>
              <w:t>외부 LLM</w:t>
            </w:r>
          </w:p>
        </w:tc>
        <w:tc>
          <w:tcPr>
            <w:tcW w:type="dxa" w:w="2340"/>
          </w:tcPr>
          <w:p>
            <w:r>
              <w:t>Lv1, Lv2 (가공 후)</w:t>
            </w:r>
          </w:p>
        </w:tc>
        <w:tc>
          <w:tcPr>
            <w:tcW w:type="dxa" w:w="2340"/>
          </w:tcPr>
          <w:p>
            <w:r>
              <w:t>Anthropic 제공</w:t>
            </w:r>
          </w:p>
        </w:tc>
      </w:tr>
      <w:tr>
        <w:tc>
          <w:tcPr>
            <w:tcW w:type="dxa" w:w="2340"/>
          </w:tcPr>
          <w:p>
            <w:r>
              <w:t>ChatGPT</w:t>
            </w:r>
          </w:p>
        </w:tc>
        <w:tc>
          <w:tcPr>
            <w:tcW w:type="dxa" w:w="2340"/>
          </w:tcPr>
          <w:p>
            <w:r>
              <w:t>외부 LLM</w:t>
            </w:r>
          </w:p>
        </w:tc>
        <w:tc>
          <w:tcPr>
            <w:tcW w:type="dxa" w:w="2340"/>
          </w:tcPr>
          <w:p>
            <w:r>
              <w:t>Lv1, Lv2 (가공 후)</w:t>
            </w:r>
          </w:p>
        </w:tc>
        <w:tc>
          <w:tcPr>
            <w:tcW w:type="dxa" w:w="2340"/>
          </w:tcPr>
          <w:p>
            <w:r>
              <w:t>OpenAI 제공 · Enterprise 권장</w:t>
            </w:r>
          </w:p>
        </w:tc>
      </w:tr>
      <w:tr>
        <w:tc>
          <w:tcPr>
            <w:tcW w:type="dxa" w:w="2340"/>
          </w:tcPr>
          <w:p>
            <w:r>
              <w:t>Gemini (Google Workspace)</w:t>
            </w:r>
          </w:p>
        </w:tc>
        <w:tc>
          <w:tcPr>
            <w:tcW w:type="dxa" w:w="2340"/>
          </w:tcPr>
          <w:p>
            <w:r>
              <w:t>외부 LLM (테넌트)</w:t>
            </w:r>
          </w:p>
        </w:tc>
        <w:tc>
          <w:tcPr>
            <w:tcW w:type="dxa" w:w="2340"/>
          </w:tcPr>
          <w:p>
            <w:r>
              <w:t>Lv1, Lv2, Lv3 (익명화)</w:t>
            </w:r>
          </w:p>
        </w:tc>
        <w:tc>
          <w:tcPr>
            <w:tcW w:type="dxa" w:w="2340"/>
          </w:tcPr>
          <w:p>
            <w:r>
              <w:t>사내 도메인 연동 시</w:t>
            </w:r>
          </w:p>
        </w:tc>
      </w:tr>
      <w:tr>
        <w:tc>
          <w:tcPr>
            <w:tcW w:type="dxa" w:w="2340"/>
          </w:tcPr>
          <w:p>
            <w:r>
              <w:t>Microsoft 365 Copilot</w:t>
            </w:r>
          </w:p>
        </w:tc>
        <w:tc>
          <w:tcPr>
            <w:tcW w:type="dxa" w:w="2340"/>
          </w:tcPr>
          <w:p>
            <w:r>
              <w:t>외부 LLM (테넌트)</w:t>
            </w:r>
          </w:p>
        </w:tc>
        <w:tc>
          <w:tcPr>
            <w:tcW w:type="dxa" w:w="2340"/>
          </w:tcPr>
          <w:p>
            <w:r>
              <w:t>Lv1, Lv2, Lv3 (익명화)</w:t>
            </w:r>
          </w:p>
        </w:tc>
        <w:tc>
          <w:tcPr>
            <w:tcW w:type="dxa" w:w="2340"/>
          </w:tcPr>
          <w:p>
            <w:r>
              <w:t>사내 테넌트 연동 시</w:t>
            </w:r>
          </w:p>
        </w:tc>
      </w:tr>
      <w:tr>
        <w:tc>
          <w:tcPr>
            <w:tcW w:type="dxa" w:w="2340"/>
          </w:tcPr>
          <w:p>
            <w:r>
              <w:t>[사내 LLM 명칭]</w:t>
            </w:r>
          </w:p>
        </w:tc>
        <w:tc>
          <w:tcPr>
            <w:tcW w:type="dxa" w:w="2340"/>
          </w:tcPr>
          <w:p>
            <w:r>
              <w:t>사내 호스팅</w:t>
            </w:r>
          </w:p>
        </w:tc>
        <w:tc>
          <w:tcPr>
            <w:tcW w:type="dxa" w:w="2340"/>
          </w:tcPr>
          <w:p>
            <w:r>
              <w:t>Lv1 ~ Lv4 (Lv4는 승인 필요)</w:t>
            </w:r>
          </w:p>
        </w:tc>
        <w:tc>
          <w:tcPr>
            <w:tcW w:type="dxa" w:w="2340"/>
          </w:tcPr>
          <w:p>
            <w:r>
              <w:t>Air-gapped 환경</w:t>
            </w:r>
          </w:p>
        </w:tc>
      </w:tr>
    </w:tbl>
    <w:p>
      <w:pPr>
        <w:pStyle w:val="Heading1"/>
      </w:pPr>
      <w:r>
        <w:t>5. 금지 행위</w:t>
      </w:r>
    </w:p>
    <w:p>
      <w:r>
        <w:t>다음 행위는 본 정책에 의해 명시적으로 금지되며, 위반 시 사내 징계 절차에 따릅니다.</w:t>
      </w:r>
    </w:p>
    <w:p>
      <w:pPr>
        <w:pStyle w:val="ListBullet"/>
      </w:pPr>
      <w:r>
        <w:t>극비(Lv4) 데이터를 외부 LLM(Claude/ChatGPT/Gemini 등)에 입력하는 행위</w:t>
      </w:r>
    </w:p>
    <w:p>
      <w:pPr>
        <w:pStyle w:val="ListBullet"/>
      </w:pPr>
      <w:r>
        <w:t>AI 출력물을 사실 검증 없이 외부(고객·언론·규제기관)에 송출하는 행위</w:t>
      </w:r>
    </w:p>
    <w:p>
      <w:pPr>
        <w:pStyle w:val="ListBullet"/>
      </w:pPr>
      <w:r>
        <w:t>고객 개인정보(이름·연락처·주민번호·금융정보 등)를 익명화 없이 AI에 입력하는 행위</w:t>
      </w:r>
    </w:p>
    <w:p>
      <w:pPr>
        <w:pStyle w:val="ListBullet"/>
      </w:pPr>
      <w:r>
        <w:t>회사 소스코드, 미공개 알고리즘, 영업비밀을 외부 LLM에 입력하는 행위</w:t>
      </w:r>
    </w:p>
    <w:p>
      <w:pPr>
        <w:pStyle w:val="ListBullet"/>
      </w:pPr>
      <w:r>
        <w:t>AI 도구의 출력물을 본인이 작성한 것처럼 외부에 표시하는 행위(이해상충 발생 시)</w:t>
      </w:r>
    </w:p>
    <w:p>
      <w:pPr>
        <w:pStyle w:val="Heading1"/>
      </w:pPr>
      <w:r>
        <w:t>6. 외부 송출 검토 절차</w:t>
      </w:r>
    </w:p>
    <w:p>
      <w:r>
        <w:t>AI가 생성한 콘텐츠를 외부에 송출하기 전, 다음 RGSB 4관점 또는 사내 검토 체크리스트를 적용합니다.</w:t>
      </w:r>
    </w:p>
    <w:p>
      <w:pPr>
        <w:pStyle w:val="ListBullet"/>
      </w:pPr>
      <w:r>
        <w:rPr>
          <w:b/>
        </w:rPr>
        <w:t xml:space="preserve">R (Reason · 이성) — </w:t>
      </w:r>
      <w:r>
        <w:t>논리·근거·결론의 정합성을 점검한다.</w:t>
      </w:r>
    </w:p>
    <w:p>
      <w:pPr>
        <w:pStyle w:val="ListBullet"/>
      </w:pPr>
      <w:r>
        <w:rPr>
          <w:b/>
        </w:rPr>
        <w:t xml:space="preserve">D (Domain · 분야 전문) — </w:t>
      </w:r>
      <w:r>
        <w:t>해당 분야의 사실 관계와 디테일을 검증한다.</w:t>
      </w:r>
    </w:p>
    <w:p>
      <w:pPr>
        <w:pStyle w:val="ListBullet"/>
      </w:pPr>
      <w:r>
        <w:rPr>
          <w:b/>
        </w:rPr>
        <w:t xml:space="preserve">E (Empathy · 공감) — </w:t>
      </w:r>
      <w:r>
        <w:t>수신자의 감정과 맥락이 깨지지 않는지 확인한다.</w:t>
      </w:r>
    </w:p>
    <w:p>
      <w:pPr>
        <w:pStyle w:val="ListBullet"/>
      </w:pPr>
      <w:r>
        <w:rPr>
          <w:b/>
        </w:rPr>
        <w:t xml:space="preserve">R (Reader · 독자) — </w:t>
      </w:r>
      <w:r>
        <w:t>실제 독자의 첫 행동이 가능한지 점검한다.</w:t>
      </w:r>
    </w:p>
    <w:p>
      <w:pPr>
        <w:pStyle w:val="Heading1"/>
      </w:pPr>
      <w:r>
        <w:t>7. 사고 발생 시 대응</w:t>
      </w:r>
    </w:p>
    <w:p>
      <w:r>
        <w:t>AI 사용 중 데이터 유출, 잘못된 외부 송출, 법적 리스크가 발생한 경우 아래 절차를 따릅니다.</w:t>
      </w:r>
    </w:p>
    <w:p>
      <w:pPr>
        <w:ind w:left="360"/>
      </w:pPr>
      <w:r>
        <w:t>1) 즉시 보고 — 발견 즉시 직속 상급자 및 정보보호팀에 보고 (24시간 이내)</w:t>
      </w:r>
    </w:p>
    <w:p>
      <w:pPr>
        <w:ind w:left="360"/>
      </w:pPr>
      <w:r>
        <w:t>2) 영향 평가 — 유출 데이터의 등급, 범위, 수신자를 평가 (72시간 이내)</w:t>
      </w:r>
    </w:p>
    <w:p>
      <w:pPr>
        <w:ind w:left="360"/>
      </w:pPr>
      <w:r>
        <w:t>3) 외부 통보 — 개인정보 유출 시 관련 법령에 따라 정보주체 및 규제기관에 통보</w:t>
      </w:r>
    </w:p>
    <w:p>
      <w:pPr>
        <w:ind w:left="360"/>
      </w:pPr>
      <w:r>
        <w:t>4) 재발 방지 — 원인 분석 및 정책·교육·도구 설정 보완</w:t>
      </w:r>
    </w:p>
    <w:p>
      <w:pPr>
        <w:pStyle w:val="Heading1"/>
      </w:pPr>
      <w:r>
        <w:t>8. 교육과 인증</w:t>
      </w:r>
    </w:p>
    <w:p>
      <w:r>
        <w:t>신규 입사자는 입사 후 [14일] 이내 본 정책에 대한 의무 교육을 이수해야 합니다. 전 임직원은 분기 1회 정책 업데이트 및 사례 공유 교육에 참여해야 하며, 교육 이수 여부는 인사 평가에 반영됩니다.</w:t>
      </w:r>
    </w:p>
    <w:p>
      <w:pPr>
        <w:pStyle w:val="Heading1"/>
      </w:pPr>
      <w:r>
        <w:t>9. 개정 이력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2340"/>
          </w:tcPr>
          <w:p>
            <w:r>
              <w:rPr>
                <w:b/>
              </w:rPr>
              <w:t>개정일</w:t>
            </w:r>
          </w:p>
        </w:tc>
        <w:tc>
          <w:tcPr>
            <w:tcW w:type="dxa" w:w="234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340"/>
          </w:tcPr>
          <w:p>
            <w:r>
              <w:rPr>
                <w:b/>
              </w:rPr>
              <w:t>변경 사항</w:t>
            </w:r>
          </w:p>
        </w:tc>
      </w:tr>
      <w:tr>
        <w:tc>
          <w:tcPr>
            <w:tcW w:type="dxa" w:w="2340"/>
          </w:tcPr>
          <w:p>
            <w:r>
              <w:t>v0.1</w:t>
            </w:r>
          </w:p>
        </w:tc>
        <w:tc>
          <w:tcPr>
            <w:tcW w:type="dxa" w:w="2340"/>
          </w:tcPr>
          <w:p>
            <w:r>
              <w:t>2026-MM-DD</w:t>
            </w:r>
          </w:p>
        </w:tc>
        <w:tc>
          <w:tcPr>
            <w:tcW w:type="dxa" w:w="2340"/>
          </w:tcPr>
          <w:p>
            <w:r>
              <w:t>[작성자 이름]</w:t>
            </w:r>
          </w:p>
        </w:tc>
        <w:tc>
          <w:tcPr>
            <w:tcW w:type="dxa" w:w="2340"/>
          </w:tcPr>
          <w:p>
            <w:r>
              <w:t>최초 작성 (템플릿 기반)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8"/>
      </w:rPr>
      <w:t xml:space="preserve">AX Guide for Enterprise · v0.2 / jade@linercorp.com    ·    </w:t>
    </w:r>
    <w:r>
      <w:rPr>
        <w:color w:val="6B7280"/>
        <w:sz w:val="18"/>
      </w:rPr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