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AI 벤더 평가 RFP 템플릿</w:t>
      </w:r>
    </w:p>
    <w:p>
      <w:pPr>
        <w:jc w:val="center"/>
      </w:pPr>
      <w:r>
        <w:rPr>
          <w:i/>
          <w:color w:val="6B7280"/>
          <w:sz w:val="20"/>
        </w:rPr>
        <w:t>문서번호: [RFP-AI-001]    ·    작성일: [YYYY-MM-DD]    ·    소관부서: [정보보호팀 / 구매팀 / AX TF]</w:t>
      </w:r>
    </w:p>
    <w:p/>
    <w:p>
      <w:pPr>
        <w:pStyle w:val="Heading1"/>
      </w:pPr>
      <w:r>
        <w:t>1. 목적과 범위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680"/>
          </w:tcPr>
          <w:p>
            <w:r>
              <w:t>[ 회사명 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4680"/>
          </w:tcPr>
          <w:p>
            <w:r>
              <w:t>[ YYYY-MM-DD 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평가 대상 벤더 (3-5개)</w:t>
            </w:r>
          </w:p>
        </w:tc>
        <w:tc>
          <w:tcPr>
            <w:tcW w:type="dxa" w:w="4680"/>
          </w:tcPr>
          <w:p>
            <w:r>
              <w:t>[ 예: Anthropic, OpenAI, Google, Microsoft, 사내 LLM ]</w:t>
            </w:r>
          </w:p>
        </w:tc>
      </w:tr>
    </w:tbl>
    <w:p/>
    <w:p>
      <w:r>
        <w:t>본 RFP는 사내 AI 도구 도입을 위한 표준 평가 절차입니다. 최소 3개 이상의 벤더를 동일 기준으로 비교하며, 결정 매트릭스에 따라 메인·보조 벤더를 선정합니다.</w:t>
      </w:r>
    </w:p>
    <w:p>
      <w:pPr>
        <w:pStyle w:val="Heading1"/>
      </w:pPr>
      <w:r>
        <w:t>2. 평가 기준</w:t>
      </w:r>
    </w:p>
    <w:p>
      <w:pPr>
        <w:pStyle w:val="IntenseQuote"/>
      </w:pPr>
      <w:r>
        <w:t>기능</w:t>
      </w:r>
    </w:p>
    <w:p>
      <w:pPr>
        <w:pStyle w:val="ListBullet"/>
      </w:pPr>
      <w:r>
        <w:t>맥락 길이 (max context window)</w:t>
      </w:r>
    </w:p>
    <w:p>
      <w:pPr>
        <w:pStyle w:val="ListBullet"/>
      </w:pPr>
      <w:r>
        <w:t>도구 사용 (function calling / MCP)</w:t>
      </w:r>
    </w:p>
    <w:p>
      <w:pPr>
        <w:pStyle w:val="ListBullet"/>
      </w:pPr>
      <w:r>
        <w:t>이미지 입력·생성 지원</w:t>
      </w:r>
    </w:p>
    <w:p>
      <w:pPr>
        <w:pStyle w:val="ListBullet"/>
      </w:pPr>
      <w:r>
        <w:t>코드 생성·실행 지원</w:t>
      </w:r>
    </w:p>
    <w:p>
      <w:pPr>
        <w:pStyle w:val="ListBullet"/>
      </w:pPr>
      <w:r>
        <w:t>한국어 품질 (벤치마크 또는 사내 테스트)</w:t>
      </w:r>
    </w:p>
    <w:p>
      <w:pPr>
        <w:pStyle w:val="IntenseQuote"/>
      </w:pPr>
      <w:r>
        <w:t>보안</w:t>
      </w:r>
    </w:p>
    <w:p>
      <w:pPr>
        <w:pStyle w:val="ListBullet"/>
      </w:pPr>
      <w:r>
        <w:t>데이터 학습·보존 정책 (zero-retention 옵션)</w:t>
      </w:r>
    </w:p>
    <w:p>
      <w:pPr>
        <w:pStyle w:val="ListBullet"/>
      </w:pPr>
      <w:r>
        <w:t>한국 데이터센터 또는 리전 옵션</w:t>
      </w:r>
    </w:p>
    <w:p>
      <w:pPr>
        <w:pStyle w:val="ListBullet"/>
      </w:pPr>
      <w:r>
        <w:t>SSO / SAML / SCIM 지원</w:t>
      </w:r>
    </w:p>
    <w:p>
      <w:pPr>
        <w:pStyle w:val="ListBullet"/>
      </w:pPr>
      <w:r>
        <w:t>감사 로그 (audit log) 제공</w:t>
      </w:r>
    </w:p>
    <w:p>
      <w:pPr>
        <w:pStyle w:val="IntenseQuote"/>
      </w:pPr>
      <w:r>
        <w:t>통합</w:t>
      </w:r>
    </w:p>
    <w:p>
      <w:pPr>
        <w:pStyle w:val="ListBullet"/>
      </w:pPr>
      <w:r>
        <w:t>REST API 안정성</w:t>
      </w:r>
    </w:p>
    <w:p>
      <w:pPr>
        <w:pStyle w:val="ListBullet"/>
      </w:pPr>
      <w:r>
        <w:t>MCP 또는 동등 프로토콜</w:t>
      </w:r>
    </w:p>
    <w:p>
      <w:pPr>
        <w:pStyle w:val="ListBullet"/>
      </w:pPr>
      <w:r>
        <w:t>Office / Workspace 통합</w:t>
      </w:r>
    </w:p>
    <w:p>
      <w:pPr>
        <w:pStyle w:val="IntenseQuote"/>
      </w:pPr>
      <w:r>
        <w:t>가격</w:t>
      </w:r>
    </w:p>
    <w:p>
      <w:pPr>
        <w:pStyle w:val="ListBullet"/>
      </w:pPr>
      <w:r>
        <w:t>라이선스 모델 (시트 / 토큰 / 하이브리드)</w:t>
      </w:r>
    </w:p>
    <w:p>
      <w:pPr>
        <w:pStyle w:val="ListBullet"/>
      </w:pPr>
      <w:r>
        <w:t>TCO (12개월 총비용)</w:t>
      </w:r>
    </w:p>
    <w:p>
      <w:pPr>
        <w:pStyle w:val="ListBullet"/>
      </w:pPr>
      <w:r>
        <w:t>볼륨 할인 / 멀티이어 약정</w:t>
      </w:r>
    </w:p>
    <w:p>
      <w:pPr>
        <w:pStyle w:val="IntenseQuote"/>
      </w:pPr>
      <w:r>
        <w:t>지원</w:t>
      </w:r>
    </w:p>
    <w:p>
      <w:pPr>
        <w:pStyle w:val="ListBullet"/>
      </w:pPr>
      <w:r>
        <w:t>한국어 기술 지원</w:t>
      </w:r>
    </w:p>
    <w:p>
      <w:pPr>
        <w:pStyle w:val="ListBullet"/>
      </w:pPr>
      <w:r>
        <w:t>SLA (uptime / 응답 시간)</w:t>
      </w:r>
    </w:p>
    <w:p>
      <w:pPr>
        <w:pStyle w:val="ListBullet"/>
      </w:pPr>
      <w:r>
        <w:t>온보딩·교육 지원</w:t>
      </w:r>
    </w:p>
    <w:p>
      <w:pPr>
        <w:pStyle w:val="Heading1"/>
      </w:pPr>
      <w:r>
        <w:t>3. 벤더별 점수표 (1-5점)</w:t>
      </w:r>
    </w:p>
    <w:p>
      <w:r>
        <w:t>각 항목 1-5점으로 평가하고 가중치를 곱해 합계를 계산합니다. 가중치 합은 100점이며, 회사 우선순위에 따라 조정합니다.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카테고리</w:t>
            </w:r>
          </w:p>
        </w:tc>
        <w:tc>
          <w:tcPr>
            <w:tcW w:type="dxa" w:w="1560"/>
          </w:tcPr>
          <w:p>
            <w:r>
              <w:rPr>
                <w:b/>
              </w:rPr>
              <w:t>가중치</w:t>
            </w:r>
          </w:p>
        </w:tc>
        <w:tc>
          <w:tcPr>
            <w:tcW w:type="dxa" w:w="1560"/>
          </w:tcPr>
          <w:p>
            <w:r>
              <w:rPr>
                <w:b/>
              </w:rPr>
              <w:t>벤더 A</w:t>
            </w:r>
          </w:p>
        </w:tc>
        <w:tc>
          <w:tcPr>
            <w:tcW w:type="dxa" w:w="1560"/>
          </w:tcPr>
          <w:p>
            <w:r>
              <w:rPr>
                <w:b/>
              </w:rPr>
              <w:t>벤더 B</w:t>
            </w:r>
          </w:p>
        </w:tc>
        <w:tc>
          <w:tcPr>
            <w:tcW w:type="dxa" w:w="1560"/>
          </w:tcPr>
          <w:p>
            <w:r>
              <w:rPr>
                <w:b/>
              </w:rPr>
              <w:t>벤더 C</w:t>
            </w:r>
          </w:p>
        </w:tc>
        <w:tc>
          <w:tcPr>
            <w:tcW w:type="dxa" w:w="15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560"/>
          </w:tcPr>
          <w:p>
            <w:r>
              <w:t>기능</w:t>
            </w:r>
          </w:p>
        </w:tc>
        <w:tc>
          <w:tcPr>
            <w:tcW w:type="dxa" w:w="1560"/>
          </w:tcPr>
          <w:p>
            <w:r>
              <w:t>25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보안</w:t>
            </w:r>
          </w:p>
        </w:tc>
        <w:tc>
          <w:tcPr>
            <w:tcW w:type="dxa" w:w="1560"/>
          </w:tcPr>
          <w:p>
            <w:r>
              <w:t>30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통합</w:t>
            </w:r>
          </w:p>
        </w:tc>
        <w:tc>
          <w:tcPr>
            <w:tcW w:type="dxa" w:w="1560"/>
          </w:tcPr>
          <w:p>
            <w:r>
              <w:t>15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가격</w:t>
            </w:r>
          </w:p>
        </w:tc>
        <w:tc>
          <w:tcPr>
            <w:tcW w:type="dxa" w:w="1560"/>
          </w:tcPr>
          <w:p>
            <w:r>
              <w:t>20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지원</w:t>
            </w:r>
          </w:p>
        </w:tc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가중 합계 (100점 환산)</w:t>
            </w:r>
          </w:p>
        </w:tc>
        <w:tc>
          <w:tcPr>
            <w:tcW w:type="dxa" w:w="1560"/>
          </w:tcPr>
          <w:p>
            <w:r>
              <w:t>100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</w:tbl>
    <w:p/>
    <w:p>
      <w:pPr>
        <w:pStyle w:val="Heading1"/>
      </w:pPr>
      <w:r>
        <w:t>4. 참조 고객 인터뷰 질문</w:t>
      </w:r>
    </w:p>
    <w:p>
      <w:pPr>
        <w:pStyle w:val="ListNumber"/>
      </w:pPr>
      <w:r>
        <w:t>도입 후 6개월 시점에 가장 만족스러운 점과 가장 아쉬운 점은 무엇입니까?</w:t>
      </w:r>
    </w:p>
    <w:p>
      <w:pPr>
        <w:pStyle w:val="ListNumber"/>
      </w:pPr>
      <w:r>
        <w:t>사고(데이터 노출·잘못된 출력)가 발생한 적이 있다면 벤더의 대응은 어땠습니까?</w:t>
      </w:r>
    </w:p>
    <w:p>
      <w:pPr>
        <w:pStyle w:val="ListNumber"/>
      </w:pPr>
      <w:r>
        <w:t>초기 약속한 SLA·기능 중 실제로 차이가 컸던 부분이 있습니까?</w:t>
      </w:r>
    </w:p>
    <w:p>
      <w:pPr>
        <w:pStyle w:val="ListNumber"/>
      </w:pPr>
      <w:r>
        <w:t>라이선스·가격 협상에서 협상이 가능했던 항목과 불가능했던 항목은 무엇입니까?</w:t>
      </w:r>
    </w:p>
    <w:p>
      <w:pPr>
        <w:pStyle w:val="ListNumber"/>
      </w:pPr>
      <w:r>
        <w:t>다시 도입을 결정한다면 같은 벤더를 선택하시겠습니까? 그 이유는 무엇입니까?</w:t>
      </w:r>
    </w:p>
    <w:p>
      <w:pPr>
        <w:pStyle w:val="Heading1"/>
      </w:pPr>
      <w:r>
        <w:t>5. 결정 매트릭스</w:t>
      </w:r>
    </w:p>
    <w:p>
      <w:r>
        <w:t>단일 벤더에 모든 것을 거는 것은 위험합니다. 메인 벤더 1개 + 보조 벤더 1개 조합을 권장합니다.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추천 벤더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선정 사유</w:t>
            </w:r>
          </w:p>
        </w:tc>
      </w:tr>
      <w:tr>
        <w:tc>
          <w:tcPr>
            <w:tcW w:type="dxa" w:w="3120"/>
          </w:tcPr>
          <w:p>
            <w:r>
              <w:t>메인 벤더 (전사 표준)</w:t>
            </w:r>
          </w:p>
        </w:tc>
        <w:tc>
          <w:tcPr>
            <w:tcW w:type="dxa" w:w="3120"/>
          </w:tcPr>
          <w:p>
            <w:r>
              <w:t>[ 가중 합계 1위 ]</w:t>
            </w:r>
          </w:p>
        </w:tc>
        <w:tc>
          <w:tcPr>
            <w:tcW w:type="dxa" w:w="3120"/>
          </w:tcPr>
          <w:p>
            <w:r>
              <w:t>[ 기능·보안·통합 종합 점수 가장 높음 ]</w:t>
            </w:r>
          </w:p>
        </w:tc>
      </w:tr>
      <w:tr>
        <w:tc>
          <w:tcPr>
            <w:tcW w:type="dxa" w:w="3120"/>
          </w:tcPr>
          <w:p>
            <w:r>
              <w:t>보조 벤더 (특수 케이스)</w:t>
            </w:r>
          </w:p>
        </w:tc>
        <w:tc>
          <w:tcPr>
            <w:tcW w:type="dxa" w:w="3120"/>
          </w:tcPr>
          <w:p>
            <w:r>
              <w:t>[ 특정 카테고리 1위 ]</w:t>
            </w:r>
          </w:p>
        </w:tc>
        <w:tc>
          <w:tcPr>
            <w:tcW w:type="dxa" w:w="3120"/>
          </w:tcPr>
          <w:p>
            <w:r>
              <w:t>[ 예: 한국어 1위 또는 가격 1위 ]</w:t>
            </w:r>
          </w:p>
        </w:tc>
      </w:tr>
      <w:tr>
        <w:tc>
          <w:tcPr>
            <w:tcW w:type="dxa" w:w="3120"/>
          </w:tcPr>
          <w:p>
            <w:r>
              <w:t>재평가 시점</w:t>
            </w:r>
          </w:p>
        </w:tc>
        <w:tc>
          <w:tcPr>
            <w:tcW w:type="dxa" w:w="3120"/>
          </w:tcPr>
          <w:p>
            <w:r>
              <w:t>[ 6개월 후 또는 사고 발생 시 ]</w:t>
            </w:r>
          </w:p>
        </w:tc>
        <w:tc>
          <w:tcPr>
            <w:tcW w:type="dxa" w:w="3120"/>
          </w:tcPr>
          <w:p>
            <w:r>
              <w:t>[ SLA 위반·기능 격차 발생 시 즉시 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B7280"/>
        <w:sz w:val="18"/>
      </w:rPr>
      <w:t xml:space="preserve">AX Guide for Enterprise · v0.2 / jade@linercorp.com    ·    </w:t>
    </w:r>
    <w:r>
      <w:rPr>
        <w:color w:val="6B7280"/>
        <w:sz w:val="18"/>
      </w:rPr>
      <w:fldChar w:fldCharType="begin"/>
      <w:instrText xml:space="preserve">PAGE</w:instrText>
      <w:fldChar w:fldCharType="end"/>
      <w:t xml:space="preserve"> /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