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CCB32" w14:textId="33E5B1F0" w:rsidR="002D4B84" w:rsidRDefault="008F4EA8" w:rsidP="007F7AFF">
      <w:pPr>
        <w:spacing w:after="0"/>
        <w:rPr>
          <w:color w:val="000000"/>
          <w:sz w:val="19"/>
          <w:lang w:eastAsia="zh-CN"/>
        </w:rPr>
      </w:pPr>
      <w:r w:rsidRPr="008F4EA8">
        <w:rPr>
          <w:noProof/>
          <w:color w:val="000000"/>
          <w:sz w:val="19"/>
          <w:lang w:eastAsia="zh-CN"/>
        </w:rPr>
        <w:drawing>
          <wp:anchor distT="0" distB="0" distL="114300" distR="114300" simplePos="0" relativeHeight="251659264" behindDoc="0" locked="0" layoutInCell="1" allowOverlap="1" wp14:anchorId="74A8C011" wp14:editId="3D1B9A74">
            <wp:simplePos x="0" y="0"/>
            <wp:positionH relativeFrom="column">
              <wp:posOffset>0</wp:posOffset>
            </wp:positionH>
            <wp:positionV relativeFrom="paragraph">
              <wp:posOffset>15875</wp:posOffset>
            </wp:positionV>
            <wp:extent cx="1022859" cy="1260000"/>
            <wp:effectExtent l="0" t="0" r="6350" b="0"/>
            <wp:wrapSquare wrapText="bothSides"/>
            <wp:docPr id="4" name="图片 4" descr="E:\BUCT面试\微信图片_20201204093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UCT面试\微信图片_2020120409305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859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1D88">
        <w:rPr>
          <w:rFonts w:hint="eastAsia"/>
          <w:color w:val="000000"/>
          <w:sz w:val="19"/>
          <w:lang w:eastAsia="zh-CN"/>
        </w:rPr>
        <w:t>胡粲彬，工学博士，硕士生导师</w:t>
      </w:r>
      <w:r w:rsidR="00CD666A">
        <w:rPr>
          <w:rFonts w:hint="eastAsia"/>
          <w:color w:val="000000"/>
          <w:sz w:val="19"/>
          <w:lang w:eastAsia="zh-CN"/>
        </w:rPr>
        <w:t>。20</w:t>
      </w:r>
      <w:r w:rsidR="00D01D88">
        <w:rPr>
          <w:color w:val="000000"/>
          <w:sz w:val="19"/>
          <w:lang w:eastAsia="zh-CN"/>
        </w:rPr>
        <w:t>14</w:t>
      </w:r>
      <w:r w:rsidR="00CD666A">
        <w:rPr>
          <w:rFonts w:hint="eastAsia"/>
          <w:color w:val="000000"/>
          <w:sz w:val="19"/>
          <w:lang w:eastAsia="zh-CN"/>
        </w:rPr>
        <w:t>年毕业于</w:t>
      </w:r>
      <w:r w:rsidR="00D01D88">
        <w:rPr>
          <w:rFonts w:hint="eastAsia"/>
          <w:color w:val="000000"/>
          <w:sz w:val="19"/>
          <w:lang w:eastAsia="zh-CN"/>
        </w:rPr>
        <w:t>国防科技大学信息与通信工程</w:t>
      </w:r>
      <w:r w:rsidR="00CD666A">
        <w:rPr>
          <w:rFonts w:hint="eastAsia"/>
          <w:color w:val="000000"/>
          <w:sz w:val="19"/>
          <w:lang w:eastAsia="zh-CN"/>
        </w:rPr>
        <w:t>专业，获工学博士学位。201</w:t>
      </w:r>
      <w:r w:rsidR="00D01D88">
        <w:rPr>
          <w:color w:val="000000"/>
          <w:sz w:val="19"/>
          <w:lang w:eastAsia="zh-CN"/>
        </w:rPr>
        <w:t>1</w:t>
      </w:r>
      <w:r w:rsidR="00D01D88">
        <w:rPr>
          <w:rFonts w:hint="eastAsia"/>
          <w:color w:val="000000"/>
          <w:sz w:val="19"/>
          <w:lang w:eastAsia="zh-CN"/>
        </w:rPr>
        <w:t>-</w:t>
      </w:r>
      <w:r w:rsidR="00D01D88">
        <w:rPr>
          <w:color w:val="000000"/>
          <w:sz w:val="19"/>
          <w:lang w:eastAsia="zh-CN"/>
        </w:rPr>
        <w:t>2013</w:t>
      </w:r>
      <w:r w:rsidR="00CD666A">
        <w:rPr>
          <w:rFonts w:hint="eastAsia"/>
          <w:color w:val="000000"/>
          <w:sz w:val="19"/>
          <w:lang w:eastAsia="zh-CN"/>
        </w:rPr>
        <w:t>年获国家留学基金委全额资助赴</w:t>
      </w:r>
      <w:r w:rsidR="00D01D88">
        <w:rPr>
          <w:rFonts w:hint="eastAsia"/>
          <w:color w:val="000000"/>
          <w:sz w:val="19"/>
          <w:lang w:eastAsia="zh-CN"/>
        </w:rPr>
        <w:t>法国雷恩第一大学</w:t>
      </w:r>
      <w:r w:rsidR="00CD666A">
        <w:rPr>
          <w:rFonts w:hint="eastAsia"/>
          <w:color w:val="000000"/>
          <w:sz w:val="19"/>
          <w:lang w:eastAsia="zh-CN"/>
        </w:rPr>
        <w:t>从事</w:t>
      </w:r>
      <w:r w:rsidR="00D01D88">
        <w:rPr>
          <w:rFonts w:hint="eastAsia"/>
          <w:color w:val="000000"/>
          <w:sz w:val="19"/>
          <w:lang w:eastAsia="zh-CN"/>
        </w:rPr>
        <w:t>极化雷达遥感信息处理方面的</w:t>
      </w:r>
      <w:r w:rsidR="00CD666A">
        <w:rPr>
          <w:rFonts w:hint="eastAsia"/>
          <w:color w:val="000000"/>
          <w:sz w:val="19"/>
          <w:lang w:eastAsia="zh-CN"/>
        </w:rPr>
        <w:t>研究。主要研究方向为</w:t>
      </w:r>
      <w:r w:rsidR="00D01D88">
        <w:rPr>
          <w:rFonts w:hint="eastAsia"/>
          <w:color w:val="000000"/>
          <w:sz w:val="19"/>
          <w:lang w:eastAsia="zh-CN"/>
        </w:rPr>
        <w:t>极化</w:t>
      </w:r>
      <w:r w:rsidR="00CD666A">
        <w:rPr>
          <w:rFonts w:hint="eastAsia"/>
          <w:color w:val="000000"/>
          <w:sz w:val="19"/>
          <w:lang w:eastAsia="zh-CN"/>
        </w:rPr>
        <w:t>合成孔径雷达（SAR）信号处理、SAR图像解译</w:t>
      </w:r>
      <w:r w:rsidR="00D01D88">
        <w:rPr>
          <w:rFonts w:hint="eastAsia"/>
          <w:color w:val="000000"/>
          <w:sz w:val="19"/>
          <w:lang w:eastAsia="zh-CN"/>
        </w:rPr>
        <w:t>等</w:t>
      </w:r>
      <w:r w:rsidR="00CD666A">
        <w:rPr>
          <w:rFonts w:hint="eastAsia"/>
          <w:color w:val="000000"/>
          <w:sz w:val="19"/>
          <w:lang w:eastAsia="zh-CN"/>
        </w:rPr>
        <w:t>。</w:t>
      </w:r>
      <w:r w:rsidR="005D51F7" w:rsidRPr="005D51F7">
        <w:rPr>
          <w:rFonts w:hint="eastAsia"/>
          <w:color w:val="000000"/>
          <w:sz w:val="19"/>
          <w:lang w:eastAsia="zh-CN"/>
        </w:rPr>
        <w:t>在</w:t>
      </w:r>
      <w:r w:rsidR="005D51F7" w:rsidRPr="005D51F7">
        <w:rPr>
          <w:color w:val="000000"/>
          <w:sz w:val="19"/>
          <w:lang w:eastAsia="zh-CN"/>
        </w:rPr>
        <w:t>国际期刊上发表</w:t>
      </w:r>
      <w:r w:rsidR="007F7AFF" w:rsidRPr="005D51F7">
        <w:rPr>
          <w:color w:val="000000"/>
          <w:sz w:val="19"/>
          <w:lang w:eastAsia="zh-CN"/>
        </w:rPr>
        <w:t>SCI</w:t>
      </w:r>
      <w:r w:rsidR="005D51F7" w:rsidRPr="005D51F7">
        <w:rPr>
          <w:color w:val="000000"/>
          <w:sz w:val="19"/>
          <w:lang w:eastAsia="zh-CN"/>
        </w:rPr>
        <w:t>论文</w:t>
      </w:r>
      <w:r w:rsidR="007F7AFF">
        <w:rPr>
          <w:color w:val="000000"/>
          <w:sz w:val="19"/>
          <w:lang w:eastAsia="zh-CN"/>
        </w:rPr>
        <w:t>10</w:t>
      </w:r>
      <w:r w:rsidR="007F7AFF">
        <w:rPr>
          <w:rFonts w:hint="eastAsia"/>
          <w:color w:val="000000"/>
          <w:sz w:val="19"/>
          <w:lang w:eastAsia="zh-CN"/>
        </w:rPr>
        <w:t>余</w:t>
      </w:r>
      <w:r w:rsidR="005D51F7" w:rsidRPr="005D51F7">
        <w:rPr>
          <w:color w:val="000000"/>
          <w:sz w:val="19"/>
          <w:lang w:eastAsia="zh-CN"/>
        </w:rPr>
        <w:t>篇</w:t>
      </w:r>
      <w:r w:rsidR="007F7AFF">
        <w:rPr>
          <w:rFonts w:hint="eastAsia"/>
          <w:color w:val="000000"/>
          <w:sz w:val="19"/>
          <w:lang w:eastAsia="zh-CN"/>
        </w:rPr>
        <w:t>。</w:t>
      </w:r>
    </w:p>
    <w:p w14:paraId="1B9BE8B3" w14:textId="77777777" w:rsidR="002D4B84" w:rsidRDefault="002D4B84">
      <w:pPr>
        <w:spacing w:after="0"/>
        <w:jc w:val="both"/>
        <w:rPr>
          <w:lang w:eastAsia="zh-CN"/>
        </w:rPr>
      </w:pPr>
    </w:p>
    <w:p w14:paraId="550509A9" w14:textId="77777777" w:rsidR="00297025" w:rsidRPr="00297025" w:rsidRDefault="00297025" w:rsidP="00297025">
      <w:pPr>
        <w:spacing w:after="0"/>
        <w:jc w:val="both"/>
        <w:rPr>
          <w:b/>
          <w:bCs/>
          <w:color w:val="0000FF"/>
          <w:sz w:val="19"/>
          <w:u w:val="single"/>
          <w:lang w:eastAsia="zh-CN"/>
        </w:rPr>
      </w:pPr>
      <w:r w:rsidRPr="00297025">
        <w:rPr>
          <w:rFonts w:ascii="Comic Sans MS" w:hAnsi="Comic Sans MS" w:cs="Comic Sans MS"/>
          <w:b/>
          <w:bCs/>
          <w:color w:val="FF0000"/>
          <w:sz w:val="18"/>
          <w:szCs w:val="21"/>
          <w:lang w:eastAsia="zh-CN"/>
        </w:rPr>
        <w:t>new</w:t>
      </w:r>
      <w:r w:rsidRPr="00297025">
        <w:rPr>
          <w:rFonts w:hint="eastAsia"/>
          <w:b/>
          <w:bCs/>
          <w:sz w:val="19"/>
          <w:lang w:eastAsia="zh-CN"/>
        </w:rPr>
        <w:t>更多信息请点击</w:t>
      </w:r>
      <w:hyperlink r:id="rId9" w:history="1">
        <w:r w:rsidRPr="00297025">
          <w:rPr>
            <w:rFonts w:hint="eastAsia"/>
            <w:b/>
            <w:bCs/>
            <w:color w:val="0000FF"/>
            <w:sz w:val="19"/>
            <w:u w:val="single"/>
            <w:lang w:eastAsia="zh-CN"/>
          </w:rPr>
          <w:t>图像解译与智能处理实验室网站</w:t>
        </w:r>
      </w:hyperlink>
    </w:p>
    <w:p w14:paraId="3D506B1E" w14:textId="77777777" w:rsidR="00297025" w:rsidRPr="00297025" w:rsidRDefault="00297025" w:rsidP="00297025">
      <w:pPr>
        <w:spacing w:after="0"/>
        <w:rPr>
          <w:b/>
          <w:color w:val="0070C0"/>
          <w:sz w:val="19"/>
          <w:lang w:eastAsia="zh-CN"/>
        </w:rPr>
      </w:pPr>
    </w:p>
    <w:p w14:paraId="512A25C1" w14:textId="77777777" w:rsidR="00297025" w:rsidRPr="00576D20" w:rsidRDefault="00297025" w:rsidP="00297025">
      <w:pPr>
        <w:spacing w:after="0"/>
        <w:rPr>
          <w:b/>
          <w:color w:val="0070C0"/>
          <w:sz w:val="24"/>
          <w:szCs w:val="24"/>
          <w:lang w:eastAsia="zh-CN"/>
        </w:rPr>
      </w:pPr>
      <w:r w:rsidRPr="00576D20">
        <w:rPr>
          <w:rFonts w:hint="eastAsia"/>
          <w:b/>
          <w:color w:val="0070C0"/>
          <w:sz w:val="24"/>
          <w:szCs w:val="24"/>
          <w:lang w:eastAsia="zh-CN"/>
        </w:rPr>
        <w:t>招生专业 Admissions Major</w:t>
      </w:r>
    </w:p>
    <w:p w14:paraId="01F7A170" w14:textId="059D8201" w:rsidR="00297025" w:rsidRPr="00297025" w:rsidRDefault="00297025" w:rsidP="00297025">
      <w:pPr>
        <w:tabs>
          <w:tab w:val="right" w:pos="1620"/>
          <w:tab w:val="left" w:pos="5940"/>
          <w:tab w:val="left" w:pos="6120"/>
        </w:tabs>
        <w:snapToGrid w:val="0"/>
        <w:spacing w:beforeLines="20" w:before="48" w:afterLines="20" w:after="48" w:line="240" w:lineRule="auto"/>
        <w:rPr>
          <w:rFonts w:eastAsia="微软雅黑"/>
          <w:sz w:val="19"/>
          <w:szCs w:val="19"/>
          <w:lang w:eastAsia="zh-CN"/>
        </w:rPr>
      </w:pPr>
      <w:r w:rsidRPr="00297025">
        <w:rPr>
          <w:rFonts w:eastAsia="微软雅黑"/>
          <w:b/>
          <w:bCs/>
          <w:sz w:val="19"/>
          <w:szCs w:val="19"/>
          <w:lang w:eastAsia="zh-CN"/>
        </w:rPr>
        <w:t>硕士招生</w:t>
      </w:r>
      <w:r w:rsidRPr="00297025">
        <w:rPr>
          <w:rFonts w:eastAsia="微软雅黑"/>
          <w:sz w:val="19"/>
          <w:szCs w:val="19"/>
          <w:lang w:eastAsia="zh-CN"/>
        </w:rPr>
        <w:t>：欢迎电子信息工程</w:t>
      </w:r>
      <w:r w:rsidRPr="00297025">
        <w:rPr>
          <w:rFonts w:eastAsia="微软雅黑"/>
          <w:sz w:val="19"/>
          <w:szCs w:val="19"/>
          <w:lang w:eastAsia="zh-CN"/>
        </w:rPr>
        <w:t>/</w:t>
      </w:r>
      <w:bookmarkStart w:id="0" w:name="_GoBack"/>
      <w:bookmarkEnd w:id="0"/>
      <w:r w:rsidRPr="00297025">
        <w:rPr>
          <w:rFonts w:eastAsia="微软雅黑"/>
          <w:sz w:val="19"/>
          <w:szCs w:val="19"/>
          <w:lang w:eastAsia="zh-CN"/>
        </w:rPr>
        <w:t>人工智能</w:t>
      </w:r>
      <w:r w:rsidRPr="00297025">
        <w:rPr>
          <w:rFonts w:eastAsia="微软雅黑"/>
          <w:sz w:val="19"/>
          <w:szCs w:val="19"/>
          <w:lang w:eastAsia="zh-CN"/>
        </w:rPr>
        <w:t>/</w:t>
      </w:r>
      <w:r w:rsidRPr="00297025">
        <w:rPr>
          <w:rFonts w:eastAsia="微软雅黑"/>
          <w:sz w:val="19"/>
          <w:szCs w:val="19"/>
          <w:lang w:eastAsia="zh-CN"/>
        </w:rPr>
        <w:t>通信工程等相关专业的同学报考！</w:t>
      </w:r>
    </w:p>
    <w:p w14:paraId="13F8E4A3" w14:textId="77777777" w:rsidR="00297025" w:rsidRPr="00297025" w:rsidRDefault="00297025" w:rsidP="00297025">
      <w:pPr>
        <w:tabs>
          <w:tab w:val="right" w:pos="1620"/>
          <w:tab w:val="left" w:pos="5940"/>
          <w:tab w:val="left" w:pos="6120"/>
        </w:tabs>
        <w:snapToGrid w:val="0"/>
        <w:spacing w:beforeLines="20" w:before="48" w:afterLines="20" w:after="48" w:line="240" w:lineRule="auto"/>
        <w:rPr>
          <w:rFonts w:eastAsia="微软雅黑"/>
          <w:sz w:val="19"/>
          <w:szCs w:val="19"/>
          <w:lang w:eastAsia="zh-CN"/>
        </w:rPr>
      </w:pPr>
      <w:r w:rsidRPr="00297025">
        <w:rPr>
          <w:rFonts w:eastAsia="微软雅黑"/>
          <w:sz w:val="19"/>
          <w:szCs w:val="19"/>
          <w:lang w:eastAsia="zh-CN"/>
        </w:rPr>
        <w:t>学术硕士：</w:t>
      </w:r>
    </w:p>
    <w:p w14:paraId="4E67F55E" w14:textId="77777777" w:rsidR="00297025" w:rsidRPr="00297025" w:rsidRDefault="00297025" w:rsidP="00297025">
      <w:pPr>
        <w:numPr>
          <w:ilvl w:val="0"/>
          <w:numId w:val="4"/>
        </w:numPr>
        <w:tabs>
          <w:tab w:val="right" w:pos="1620"/>
          <w:tab w:val="left" w:pos="5940"/>
          <w:tab w:val="left" w:pos="6120"/>
        </w:tabs>
        <w:snapToGrid w:val="0"/>
        <w:spacing w:beforeLines="20" w:before="48" w:afterLines="20" w:after="48" w:line="240" w:lineRule="auto"/>
        <w:rPr>
          <w:rFonts w:eastAsia="微软雅黑"/>
          <w:sz w:val="19"/>
          <w:szCs w:val="19"/>
          <w:lang w:eastAsia="zh-CN"/>
        </w:rPr>
      </w:pPr>
      <w:r w:rsidRPr="00297025">
        <w:rPr>
          <w:rFonts w:eastAsia="微软雅黑"/>
          <w:b/>
          <w:bCs/>
          <w:sz w:val="19"/>
          <w:szCs w:val="19"/>
          <w:lang w:eastAsia="zh-CN"/>
        </w:rPr>
        <w:t>信息与通信工程</w:t>
      </w:r>
      <w:r w:rsidRPr="00297025">
        <w:rPr>
          <w:rFonts w:eastAsia="微软雅黑"/>
          <w:sz w:val="19"/>
          <w:szCs w:val="19"/>
          <w:lang w:eastAsia="zh-CN"/>
        </w:rPr>
        <w:t>（</w:t>
      </w:r>
      <w:r w:rsidRPr="00297025">
        <w:rPr>
          <w:rFonts w:eastAsia="微软雅黑"/>
          <w:sz w:val="19"/>
          <w:szCs w:val="19"/>
          <w:lang w:eastAsia="zh-CN"/>
        </w:rPr>
        <w:t>02</w:t>
      </w:r>
      <w:r w:rsidRPr="00297025">
        <w:rPr>
          <w:rFonts w:eastAsia="微软雅黑"/>
          <w:sz w:val="19"/>
          <w:szCs w:val="19"/>
          <w:lang w:eastAsia="zh-CN"/>
        </w:rPr>
        <w:t>图像解译与智能处理）</w:t>
      </w:r>
    </w:p>
    <w:p w14:paraId="0E158A2A" w14:textId="77777777" w:rsidR="00297025" w:rsidRPr="00297025" w:rsidRDefault="00297025" w:rsidP="00297025">
      <w:pPr>
        <w:tabs>
          <w:tab w:val="right" w:pos="1620"/>
          <w:tab w:val="left" w:pos="5940"/>
          <w:tab w:val="left" w:pos="6120"/>
        </w:tabs>
        <w:snapToGrid w:val="0"/>
        <w:spacing w:beforeLines="20" w:before="48" w:afterLines="20" w:after="48" w:line="240" w:lineRule="auto"/>
        <w:rPr>
          <w:rFonts w:eastAsia="微软雅黑"/>
          <w:sz w:val="19"/>
          <w:szCs w:val="19"/>
          <w:lang w:eastAsia="zh-CN"/>
        </w:rPr>
      </w:pPr>
      <w:r w:rsidRPr="00297025">
        <w:rPr>
          <w:rFonts w:eastAsia="微软雅黑"/>
          <w:sz w:val="19"/>
          <w:szCs w:val="19"/>
          <w:lang w:eastAsia="zh-CN"/>
        </w:rPr>
        <w:t>专业硕士：</w:t>
      </w:r>
    </w:p>
    <w:p w14:paraId="6B621950" w14:textId="77777777" w:rsidR="00297025" w:rsidRPr="00297025" w:rsidRDefault="00297025" w:rsidP="00297025">
      <w:pPr>
        <w:numPr>
          <w:ilvl w:val="0"/>
          <w:numId w:val="5"/>
        </w:numPr>
        <w:tabs>
          <w:tab w:val="right" w:pos="1620"/>
          <w:tab w:val="left" w:pos="5940"/>
          <w:tab w:val="left" w:pos="6120"/>
        </w:tabs>
        <w:snapToGrid w:val="0"/>
        <w:spacing w:beforeLines="20" w:before="48" w:afterLines="20" w:after="48" w:line="240" w:lineRule="auto"/>
        <w:rPr>
          <w:rFonts w:eastAsia="微软雅黑"/>
          <w:sz w:val="19"/>
          <w:szCs w:val="19"/>
          <w:lang w:eastAsia="zh-CN"/>
        </w:rPr>
      </w:pPr>
      <w:r w:rsidRPr="00297025">
        <w:rPr>
          <w:rFonts w:eastAsia="微软雅黑"/>
          <w:b/>
          <w:bCs/>
          <w:sz w:val="19"/>
          <w:szCs w:val="19"/>
          <w:lang w:eastAsia="zh-CN"/>
        </w:rPr>
        <w:t>电子信息</w:t>
      </w:r>
      <w:r w:rsidRPr="00297025">
        <w:rPr>
          <w:rFonts w:eastAsia="微软雅黑"/>
          <w:sz w:val="19"/>
          <w:szCs w:val="19"/>
          <w:lang w:eastAsia="zh-CN"/>
        </w:rPr>
        <w:t>（新一代电子信息技术</w:t>
      </w:r>
      <w:r w:rsidRPr="00297025">
        <w:rPr>
          <w:rFonts w:eastAsia="微软雅黑"/>
          <w:sz w:val="19"/>
          <w:szCs w:val="19"/>
          <w:lang w:eastAsia="zh-CN"/>
        </w:rPr>
        <w:t>-02</w:t>
      </w:r>
      <w:r w:rsidRPr="00297025">
        <w:rPr>
          <w:rFonts w:eastAsia="微软雅黑"/>
          <w:sz w:val="19"/>
          <w:szCs w:val="19"/>
          <w:lang w:eastAsia="zh-CN"/>
        </w:rPr>
        <w:t>遥感信息处理）</w:t>
      </w:r>
    </w:p>
    <w:p w14:paraId="2056D0CE" w14:textId="7FAC9CB6" w:rsidR="007F7AFF" w:rsidRDefault="007F7AFF">
      <w:pPr>
        <w:spacing w:after="0"/>
        <w:rPr>
          <w:lang w:eastAsia="zh-CN"/>
        </w:rPr>
      </w:pPr>
      <w:r w:rsidRPr="00576D20">
        <w:rPr>
          <w:rFonts w:hint="eastAsia"/>
          <w:b/>
          <w:color w:val="0070C0"/>
          <w:sz w:val="24"/>
          <w:szCs w:val="24"/>
          <w:lang w:eastAsia="zh-CN"/>
        </w:rPr>
        <w:br/>
        <w:t>主要科研项目 Research Projects</w:t>
      </w:r>
    </w:p>
    <w:tbl>
      <w:tblPr>
        <w:tblW w:w="9168" w:type="dxa"/>
        <w:tblCellSpacing w:w="0" w:type="dxa"/>
        <w:tblInd w:w="115" w:type="dxa"/>
        <w:tblBorders>
          <w:top w:val="inset" w:sz="8" w:space="0" w:color="000000"/>
          <w:left w:val="inset" w:sz="8" w:space="0" w:color="000000"/>
          <w:bottom w:val="inset" w:sz="8" w:space="0" w:color="000000"/>
          <w:right w:val="inset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0"/>
        <w:gridCol w:w="2918"/>
      </w:tblGrid>
      <w:tr w:rsidR="00576D20" w14:paraId="3A3D3DC1" w14:textId="77777777" w:rsidTr="00576D20">
        <w:trPr>
          <w:tblCellSpacing w:w="0" w:type="dxa"/>
        </w:trPr>
        <w:tc>
          <w:tcPr>
            <w:tcW w:w="625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4F81BD"/>
          </w:tcPr>
          <w:p w14:paraId="55BA9B8D" w14:textId="77777777" w:rsidR="00576D20" w:rsidRPr="00576D20" w:rsidRDefault="00576D20" w:rsidP="00576D20">
            <w:pPr>
              <w:spacing w:after="0"/>
              <w:jc w:val="center"/>
              <w:rPr>
                <w:color w:val="FFFFFF" w:themeColor="background1"/>
              </w:rPr>
            </w:pPr>
            <w:r w:rsidRPr="00576D20">
              <w:rPr>
                <w:b/>
                <w:color w:val="FFFFFF" w:themeColor="background1"/>
                <w:sz w:val="19"/>
              </w:rPr>
              <w:t>项目名称</w:t>
            </w:r>
          </w:p>
        </w:tc>
        <w:tc>
          <w:tcPr>
            <w:tcW w:w="291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4F81BD"/>
          </w:tcPr>
          <w:p w14:paraId="72EE4796" w14:textId="77777777" w:rsidR="00576D20" w:rsidRPr="00576D20" w:rsidRDefault="00576D20" w:rsidP="00576D20">
            <w:pPr>
              <w:spacing w:after="0"/>
              <w:jc w:val="center"/>
              <w:rPr>
                <w:color w:val="FFFFFF" w:themeColor="background1"/>
              </w:rPr>
            </w:pPr>
            <w:r w:rsidRPr="00576D20">
              <w:rPr>
                <w:b/>
                <w:color w:val="FFFFFF" w:themeColor="background1"/>
                <w:sz w:val="19"/>
              </w:rPr>
              <w:t>项目来源</w:t>
            </w:r>
          </w:p>
        </w:tc>
      </w:tr>
      <w:tr w:rsidR="00576D20" w14:paraId="3235DC7A" w14:textId="77777777" w:rsidTr="00576D20">
        <w:trPr>
          <w:tblCellSpacing w:w="0" w:type="dxa"/>
        </w:trPr>
        <w:tc>
          <w:tcPr>
            <w:tcW w:w="625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8CCE4"/>
            <w:vAlign w:val="center"/>
          </w:tcPr>
          <w:p w14:paraId="5A76DD1E" w14:textId="23745DA8" w:rsidR="00576D20" w:rsidRDefault="00576D20" w:rsidP="00576D20">
            <w:pPr>
              <w:spacing w:after="0"/>
              <w:rPr>
                <w:lang w:eastAsia="zh-CN"/>
              </w:rPr>
            </w:pPr>
            <w:r w:rsidRPr="003F0810">
              <w:rPr>
                <w:lang w:eastAsia="zh-CN"/>
              </w:rPr>
              <w:t>SAR</w:t>
            </w:r>
            <w:r>
              <w:rPr>
                <w:lang w:eastAsia="zh-CN"/>
              </w:rPr>
              <w:t>海面目标识别技术</w:t>
            </w:r>
          </w:p>
        </w:tc>
        <w:tc>
          <w:tcPr>
            <w:tcW w:w="291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8CCE4"/>
          </w:tcPr>
          <w:p w14:paraId="1D0DB718" w14:textId="13ACCF6B" w:rsidR="00576D20" w:rsidRDefault="00576D20" w:rsidP="00576D2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省部级项目</w:t>
            </w:r>
          </w:p>
        </w:tc>
      </w:tr>
      <w:tr w:rsidR="00576D20" w14:paraId="03B8292B" w14:textId="77777777" w:rsidTr="00576D20">
        <w:trPr>
          <w:tblCellSpacing w:w="0" w:type="dxa"/>
        </w:trPr>
        <w:tc>
          <w:tcPr>
            <w:tcW w:w="625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  <w:vAlign w:val="center"/>
          </w:tcPr>
          <w:p w14:paraId="5757F61B" w14:textId="3EB1D224" w:rsidR="00576D20" w:rsidRDefault="00576D20" w:rsidP="00576D20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基于控制点的异源图像匹配技术</w:t>
            </w:r>
          </w:p>
        </w:tc>
        <w:tc>
          <w:tcPr>
            <w:tcW w:w="291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FFFFFF"/>
          </w:tcPr>
          <w:p w14:paraId="64895614" w14:textId="639F4E25" w:rsidR="00576D20" w:rsidRDefault="00576D20" w:rsidP="00576D2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省部级项目</w:t>
            </w:r>
          </w:p>
        </w:tc>
      </w:tr>
      <w:tr w:rsidR="00576D20" w14:paraId="24EB47FF" w14:textId="77777777" w:rsidTr="00576D20">
        <w:trPr>
          <w:tblCellSpacing w:w="0" w:type="dxa"/>
        </w:trPr>
        <w:tc>
          <w:tcPr>
            <w:tcW w:w="6250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8CCE4"/>
            <w:vAlign w:val="center"/>
          </w:tcPr>
          <w:p w14:paraId="4B0FF950" w14:textId="2A84333C" w:rsidR="00576D20" w:rsidRDefault="00576D20" w:rsidP="00576D20">
            <w:pPr>
              <w:spacing w:after="0"/>
              <w:rPr>
                <w:lang w:eastAsia="zh-CN"/>
              </w:rPr>
            </w:pPr>
            <w:r w:rsidRPr="00E667F1">
              <w:rPr>
                <w:rFonts w:ascii="Times New Roman" w:hAnsi="Times New Roman" w:hint="eastAsia"/>
                <w:sz w:val="21"/>
                <w:lang w:eastAsia="zh-CN"/>
              </w:rPr>
              <w:t>极化</w:t>
            </w:r>
            <w:r w:rsidRPr="00E667F1">
              <w:rPr>
                <w:rFonts w:ascii="Times New Roman" w:hAnsi="Times New Roman"/>
                <w:sz w:val="21"/>
                <w:lang w:eastAsia="zh-CN"/>
              </w:rPr>
              <w:t>SAR</w:t>
            </w:r>
            <w:r w:rsidRPr="00E667F1">
              <w:rPr>
                <w:rFonts w:ascii="Times New Roman" w:hAnsi="Times New Roman"/>
                <w:sz w:val="21"/>
                <w:lang w:eastAsia="zh-CN"/>
              </w:rPr>
              <w:t>建筑物散射机理精细化描述与信息提取关键技术研究</w:t>
            </w:r>
          </w:p>
        </w:tc>
        <w:tc>
          <w:tcPr>
            <w:tcW w:w="2918" w:type="dxa"/>
            <w:tcBorders>
              <w:top w:val="outset" w:sz="8" w:space="0" w:color="000000"/>
              <w:left w:val="outset" w:sz="8" w:space="0" w:color="000000"/>
              <w:bottom w:val="outset" w:sz="8" w:space="0" w:color="000000"/>
              <w:right w:val="outset" w:sz="8" w:space="0" w:color="000000"/>
            </w:tcBorders>
            <w:shd w:val="clear" w:color="auto" w:fill="B8CCE4"/>
          </w:tcPr>
          <w:p w14:paraId="3EDC4FB9" w14:textId="36232027" w:rsidR="00576D20" w:rsidRDefault="00576D20" w:rsidP="00576D20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省部级项目</w:t>
            </w:r>
          </w:p>
        </w:tc>
      </w:tr>
    </w:tbl>
    <w:p w14:paraId="6EC45C82" w14:textId="77777777" w:rsidR="00576D20" w:rsidRDefault="00576D20">
      <w:pPr>
        <w:spacing w:after="0"/>
        <w:rPr>
          <w:lang w:eastAsia="zh-CN"/>
        </w:rPr>
      </w:pPr>
    </w:p>
    <w:p w14:paraId="705C9379" w14:textId="494F853B" w:rsidR="002D4B84" w:rsidRPr="00576D20" w:rsidRDefault="00CD666A">
      <w:pPr>
        <w:spacing w:after="0"/>
        <w:rPr>
          <w:b/>
          <w:color w:val="0070C0"/>
          <w:sz w:val="24"/>
          <w:szCs w:val="24"/>
          <w:lang w:eastAsia="zh-CN"/>
        </w:rPr>
      </w:pPr>
      <w:r w:rsidRPr="00576D20">
        <w:rPr>
          <w:b/>
          <w:color w:val="0070C0"/>
          <w:sz w:val="24"/>
          <w:szCs w:val="24"/>
          <w:lang w:eastAsia="zh-CN"/>
        </w:rPr>
        <w:t>主要论文Research Paper</w:t>
      </w:r>
    </w:p>
    <w:p w14:paraId="2773ABB8" w14:textId="25B5BF1F" w:rsidR="00626A46" w:rsidRPr="00626A46" w:rsidRDefault="00626A46" w:rsidP="00626A46">
      <w:pPr>
        <w:pStyle w:val="af1"/>
        <w:numPr>
          <w:ilvl w:val="0"/>
          <w:numId w:val="2"/>
        </w:numPr>
        <w:ind w:firstLineChars="0"/>
        <w:jc w:val="both"/>
        <w:rPr>
          <w:rFonts w:asciiTheme="minorHAnsi" w:eastAsiaTheme="minorEastAsia" w:hAnsiTheme="minorHAnsi" w:cstheme="minorBidi"/>
          <w:sz w:val="19"/>
          <w:szCs w:val="22"/>
          <w:lang w:eastAsia="en-US"/>
        </w:rPr>
      </w:pPr>
      <w:r w:rsidRPr="00626A46">
        <w:rPr>
          <w:rFonts w:asciiTheme="minorHAnsi" w:eastAsiaTheme="minorEastAsia" w:hAnsiTheme="minorHAnsi" w:cstheme="minorBidi"/>
          <w:b/>
          <w:sz w:val="19"/>
          <w:szCs w:val="22"/>
          <w:lang w:eastAsia="en-US"/>
        </w:rPr>
        <w:t>Canbin Hu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 xml:space="preserve">, Deliang Xiang, Zuoyang Zhong, Laurent Ferro-Famil, Yue Huang, Ship and Sea-Ice Discrimination Using Sub-Spectra Strategy and Single Polarimetric SAR Imagery. In 2019 IEEE International Geoscience and Remote Sensing Symposium (pp. 2268-2271). </w:t>
      </w:r>
    </w:p>
    <w:p w14:paraId="1B8F7129" w14:textId="1B35FE5A" w:rsidR="00626A46" w:rsidRPr="00626A46" w:rsidRDefault="00626A46" w:rsidP="00626A46">
      <w:pPr>
        <w:pStyle w:val="af1"/>
        <w:numPr>
          <w:ilvl w:val="0"/>
          <w:numId w:val="2"/>
        </w:numPr>
        <w:ind w:firstLineChars="0"/>
        <w:jc w:val="both"/>
        <w:rPr>
          <w:rFonts w:asciiTheme="minorHAnsi" w:eastAsiaTheme="minorEastAsia" w:hAnsiTheme="minorHAnsi" w:cstheme="minorBidi"/>
          <w:sz w:val="19"/>
          <w:szCs w:val="22"/>
          <w:lang w:eastAsia="en-US"/>
        </w:rPr>
      </w:pPr>
      <w:r w:rsidRPr="00626A46">
        <w:rPr>
          <w:rFonts w:asciiTheme="minorHAnsi" w:eastAsiaTheme="minorEastAsia" w:hAnsiTheme="minorHAnsi" w:cstheme="minorBidi"/>
          <w:b/>
          <w:sz w:val="19"/>
          <w:szCs w:val="22"/>
          <w:lang w:eastAsia="en-US"/>
        </w:rPr>
        <w:t>Canbin Hu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>, Laurent Ferro-Famil, Gangyao Kuang. Ship discrimination using Pol-SAR data and coherent Time-Frequency analysis, Remote Sensing. 2013, 12:6899-</w:t>
      </w:r>
      <w:r w:rsidRPr="00626A46">
        <w:rPr>
          <w:rFonts w:asciiTheme="minorHAnsi" w:eastAsiaTheme="minorEastAsia" w:hAnsiTheme="minorHAnsi" w:cstheme="minorBidi" w:hint="eastAsia"/>
          <w:sz w:val="19"/>
          <w:szCs w:val="22"/>
          <w:lang w:eastAsia="en-US"/>
        </w:rPr>
        <w:t xml:space="preserve">6920. </w:t>
      </w:r>
    </w:p>
    <w:p w14:paraId="68F4F806" w14:textId="2BD517E9" w:rsidR="00626A46" w:rsidRPr="00626A46" w:rsidRDefault="00626A46" w:rsidP="00626A46">
      <w:pPr>
        <w:pStyle w:val="af1"/>
        <w:numPr>
          <w:ilvl w:val="0"/>
          <w:numId w:val="2"/>
        </w:numPr>
        <w:ind w:firstLineChars="0"/>
        <w:jc w:val="both"/>
        <w:rPr>
          <w:rFonts w:asciiTheme="minorHAnsi" w:eastAsiaTheme="minorEastAsia" w:hAnsiTheme="minorHAnsi" w:cstheme="minorBidi"/>
          <w:sz w:val="19"/>
          <w:szCs w:val="22"/>
          <w:lang w:eastAsia="en-US"/>
        </w:rPr>
      </w:pPr>
      <w:r w:rsidRPr="00626A46">
        <w:rPr>
          <w:rFonts w:asciiTheme="minorHAnsi" w:eastAsiaTheme="minorEastAsia" w:hAnsiTheme="minorHAnsi" w:cstheme="minorBidi"/>
          <w:b/>
          <w:sz w:val="19"/>
          <w:szCs w:val="22"/>
          <w:lang w:eastAsia="en-US"/>
        </w:rPr>
        <w:t>Canbin Hu,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 xml:space="preserve"> Wei Wang, Lingjun Zhao, Gangyao Kuang. Exploiting polarization</w:t>
      </w:r>
      <w:r w:rsidRPr="00626A46">
        <w:rPr>
          <w:rFonts w:asciiTheme="minorHAnsi" w:eastAsiaTheme="minorEastAsia" w:hAnsiTheme="minorHAnsi" w:cstheme="minorBidi" w:hint="eastAsia"/>
          <w:sz w:val="19"/>
          <w:szCs w:val="22"/>
          <w:lang w:eastAsia="en-US"/>
        </w:rPr>
        <w:t xml:space="preserve"> 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>using multi-frequency SAR data and multi-dimensional time-frequency techniques,</w:t>
      </w:r>
      <w:r w:rsidRPr="00626A46">
        <w:rPr>
          <w:rFonts w:asciiTheme="minorHAnsi" w:eastAsiaTheme="minorEastAsia" w:hAnsiTheme="minorHAnsi" w:cstheme="minorBidi" w:hint="eastAsia"/>
          <w:sz w:val="19"/>
          <w:szCs w:val="22"/>
          <w:lang w:eastAsia="en-US"/>
        </w:rPr>
        <w:t xml:space="preserve"> 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 xml:space="preserve">2014 IOP Conference Series: Earth and Environmental Science. Volume 17. </w:t>
      </w:r>
    </w:p>
    <w:p w14:paraId="18DBFEFC" w14:textId="29031BD0" w:rsidR="00626A46" w:rsidRPr="00626A46" w:rsidRDefault="00626A46" w:rsidP="00626A46">
      <w:pPr>
        <w:pStyle w:val="af1"/>
        <w:numPr>
          <w:ilvl w:val="0"/>
          <w:numId w:val="2"/>
        </w:numPr>
        <w:ind w:firstLineChars="0"/>
        <w:jc w:val="both"/>
        <w:rPr>
          <w:rFonts w:asciiTheme="minorHAnsi" w:eastAsiaTheme="minorEastAsia" w:hAnsiTheme="minorHAnsi" w:cstheme="minorBidi"/>
          <w:sz w:val="19"/>
          <w:szCs w:val="22"/>
          <w:lang w:eastAsia="en-US"/>
        </w:rPr>
      </w:pPr>
      <w:r w:rsidRPr="00626A46">
        <w:rPr>
          <w:rFonts w:asciiTheme="minorHAnsi" w:eastAsiaTheme="minorEastAsia" w:hAnsiTheme="minorHAnsi" w:cstheme="minorBidi"/>
          <w:b/>
          <w:sz w:val="19"/>
          <w:szCs w:val="22"/>
          <w:lang w:eastAsia="en-US"/>
        </w:rPr>
        <w:t>Canbin Hu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>, Boli Xiong, Jun Lu, Lingjun Zhao, Gangyao Kuang. SAR azimuth</w:t>
      </w:r>
      <w:r w:rsidRPr="00626A46">
        <w:rPr>
          <w:rFonts w:asciiTheme="minorHAnsi" w:eastAsiaTheme="minorEastAsia" w:hAnsiTheme="minorHAnsi" w:cstheme="minorBidi" w:hint="eastAsia"/>
          <w:sz w:val="19"/>
          <w:szCs w:val="22"/>
          <w:lang w:eastAsia="en-US"/>
        </w:rPr>
        <w:t xml:space="preserve"> 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>ambiguities removal for ship detection using time-frequency techniques, IEEE International Geoscience and Remote Sensing Symposium. Quebec city, Canada,</w:t>
      </w:r>
      <w:r w:rsidRPr="00626A46">
        <w:rPr>
          <w:rFonts w:asciiTheme="minorHAnsi" w:eastAsiaTheme="minorEastAsia" w:hAnsiTheme="minorHAnsi" w:cstheme="minorBidi" w:hint="eastAsia"/>
          <w:sz w:val="19"/>
          <w:szCs w:val="22"/>
          <w:lang w:eastAsia="en-US"/>
        </w:rPr>
        <w:t xml:space="preserve"> 2014. </w:t>
      </w:r>
    </w:p>
    <w:p w14:paraId="4AD1C63D" w14:textId="27E63551" w:rsidR="00626A46" w:rsidRPr="00626A46" w:rsidRDefault="00626A46" w:rsidP="00626A46">
      <w:pPr>
        <w:pStyle w:val="af1"/>
        <w:numPr>
          <w:ilvl w:val="0"/>
          <w:numId w:val="2"/>
        </w:numPr>
        <w:ind w:firstLineChars="0"/>
        <w:jc w:val="both"/>
        <w:rPr>
          <w:rFonts w:asciiTheme="minorHAnsi" w:eastAsiaTheme="minorEastAsia" w:hAnsiTheme="minorHAnsi" w:cstheme="minorBidi"/>
          <w:sz w:val="19"/>
          <w:szCs w:val="22"/>
          <w:lang w:eastAsia="en-US"/>
        </w:rPr>
      </w:pPr>
      <w:r w:rsidRPr="00626A46">
        <w:rPr>
          <w:rFonts w:asciiTheme="minorHAnsi" w:eastAsiaTheme="minorEastAsia" w:hAnsiTheme="minorHAnsi" w:cstheme="minorBidi"/>
          <w:b/>
          <w:sz w:val="19"/>
          <w:szCs w:val="22"/>
          <w:lang w:eastAsia="en-US"/>
        </w:rPr>
        <w:t>Canbin Hu,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 xml:space="preserve"> Wei Qiu, Gangyao Kuang. Radio Frequency interference suppression</w:t>
      </w:r>
      <w:r w:rsidRPr="00626A46">
        <w:rPr>
          <w:rFonts w:asciiTheme="minorHAnsi" w:eastAsiaTheme="minorEastAsia" w:hAnsiTheme="minorHAnsi" w:cstheme="minorBidi" w:hint="eastAsia"/>
          <w:sz w:val="19"/>
          <w:szCs w:val="22"/>
          <w:lang w:eastAsia="en-US"/>
        </w:rPr>
        <w:t xml:space="preserve"> 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>for stationarity analysis of PolSAR data, Proceeding of International Radar Sym</w:t>
      </w:r>
      <w:r w:rsidRPr="00626A46">
        <w:rPr>
          <w:rFonts w:asciiTheme="minorHAnsi" w:eastAsiaTheme="minorEastAsia" w:hAnsiTheme="minorHAnsi" w:cstheme="minorBidi" w:hint="eastAsia"/>
          <w:sz w:val="19"/>
          <w:szCs w:val="22"/>
          <w:lang w:eastAsia="en-US"/>
        </w:rPr>
        <w:t xml:space="preserve">posium 2013. Dresden, Germany, 2013. </w:t>
      </w:r>
    </w:p>
    <w:p w14:paraId="6CAEF0F1" w14:textId="69AB303E" w:rsidR="00626A46" w:rsidRPr="00626A46" w:rsidRDefault="00626A46" w:rsidP="00626A46">
      <w:pPr>
        <w:pStyle w:val="af1"/>
        <w:numPr>
          <w:ilvl w:val="0"/>
          <w:numId w:val="2"/>
        </w:numPr>
        <w:ind w:firstLineChars="0"/>
        <w:jc w:val="both"/>
        <w:rPr>
          <w:rFonts w:asciiTheme="minorHAnsi" w:eastAsiaTheme="minorEastAsia" w:hAnsiTheme="minorHAnsi" w:cstheme="minorBidi"/>
          <w:sz w:val="19"/>
          <w:szCs w:val="22"/>
          <w:lang w:eastAsia="en-US"/>
        </w:rPr>
      </w:pPr>
      <w:r w:rsidRPr="00626A46">
        <w:rPr>
          <w:rFonts w:asciiTheme="minorHAnsi" w:eastAsiaTheme="minorEastAsia" w:hAnsiTheme="minorHAnsi" w:cstheme="minorBidi"/>
          <w:b/>
          <w:sz w:val="19"/>
          <w:szCs w:val="22"/>
          <w:lang w:eastAsia="en-US"/>
        </w:rPr>
        <w:t>Canbin Hu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>, Laurent Ferro-Famil, Gangyao Kuang. Multi-dimensional coherent</w:t>
      </w:r>
      <w:r w:rsidRPr="00626A46">
        <w:rPr>
          <w:rFonts w:asciiTheme="minorHAnsi" w:eastAsiaTheme="minorEastAsia" w:hAnsiTheme="minorHAnsi" w:cstheme="minorBidi" w:hint="eastAsia"/>
          <w:sz w:val="19"/>
          <w:szCs w:val="22"/>
          <w:lang w:eastAsia="en-US"/>
        </w:rPr>
        <w:t xml:space="preserve"> 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>time-frequency analysis for ship detection in PolSAR imagery, Proceeding of IEEE</w:t>
      </w:r>
      <w:r w:rsidRPr="00626A46">
        <w:rPr>
          <w:rFonts w:asciiTheme="minorHAnsi" w:eastAsiaTheme="minorEastAsia" w:hAnsiTheme="minorHAnsi" w:cstheme="minorBidi" w:hint="eastAsia"/>
          <w:sz w:val="19"/>
          <w:szCs w:val="22"/>
          <w:lang w:eastAsia="en-US"/>
        </w:rPr>
        <w:t xml:space="preserve"> 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>International Geoscience and Remote Sensing Symposium. Melbourne, Australia,</w:t>
      </w:r>
      <w:r w:rsidRPr="00626A46">
        <w:rPr>
          <w:rFonts w:asciiTheme="minorHAnsi" w:eastAsiaTheme="minorEastAsia" w:hAnsiTheme="minorHAnsi" w:cstheme="minorBidi" w:hint="eastAsia"/>
          <w:sz w:val="19"/>
          <w:szCs w:val="22"/>
          <w:lang w:eastAsia="en-US"/>
        </w:rPr>
        <w:t xml:space="preserve"> 2013.</w:t>
      </w:r>
    </w:p>
    <w:p w14:paraId="0E5E4524" w14:textId="75B304A7" w:rsidR="00626A46" w:rsidRPr="00626A46" w:rsidRDefault="00626A46" w:rsidP="00626A46">
      <w:pPr>
        <w:pStyle w:val="af1"/>
        <w:numPr>
          <w:ilvl w:val="0"/>
          <w:numId w:val="2"/>
        </w:numPr>
        <w:ind w:firstLineChars="0"/>
        <w:jc w:val="both"/>
        <w:rPr>
          <w:rFonts w:asciiTheme="minorHAnsi" w:eastAsiaTheme="minorEastAsia" w:hAnsiTheme="minorHAnsi" w:cstheme="minorBidi"/>
          <w:sz w:val="19"/>
          <w:szCs w:val="22"/>
          <w:lang w:eastAsia="en-US"/>
        </w:rPr>
      </w:pPr>
      <w:r w:rsidRPr="00626A46">
        <w:rPr>
          <w:rFonts w:asciiTheme="minorHAnsi" w:eastAsiaTheme="minorEastAsia" w:hAnsiTheme="minorHAnsi" w:cstheme="minorBidi"/>
          <w:b/>
          <w:sz w:val="19"/>
          <w:szCs w:val="22"/>
          <w:lang w:eastAsia="en-US"/>
        </w:rPr>
        <w:t>Canbin Hu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>, Siqian Zhang, Hai Liu, Lingjun Zhao, Gangyao Kuang. Coherent scatterers characterisation using time-frequency analysis of PolSAR data, Proceeding</w:t>
      </w:r>
      <w:r w:rsidRPr="00626A46">
        <w:rPr>
          <w:rFonts w:asciiTheme="minorHAnsi" w:eastAsiaTheme="minorEastAsia" w:hAnsiTheme="minorHAnsi" w:cstheme="minorBidi" w:hint="eastAsia"/>
          <w:sz w:val="19"/>
          <w:szCs w:val="22"/>
          <w:lang w:eastAsia="en-US"/>
        </w:rPr>
        <w:t xml:space="preserve"> 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>of Asia-Pacific International Conference on Synthetic Aperture Radar. Tsukuba,</w:t>
      </w:r>
      <w:r w:rsidRPr="00626A46">
        <w:rPr>
          <w:rFonts w:asciiTheme="minorHAnsi" w:eastAsiaTheme="minorEastAsia" w:hAnsiTheme="minorHAnsi" w:cstheme="minorBidi" w:hint="eastAsia"/>
          <w:sz w:val="19"/>
          <w:szCs w:val="22"/>
          <w:lang w:eastAsia="en-US"/>
        </w:rPr>
        <w:t xml:space="preserve"> Japan, 2013. </w:t>
      </w:r>
    </w:p>
    <w:p w14:paraId="518F25A8" w14:textId="77777777" w:rsidR="00626A46" w:rsidRPr="00626A46" w:rsidRDefault="00626A46" w:rsidP="00626A46">
      <w:pPr>
        <w:pStyle w:val="af1"/>
        <w:numPr>
          <w:ilvl w:val="0"/>
          <w:numId w:val="2"/>
        </w:numPr>
        <w:ind w:firstLineChars="0"/>
        <w:jc w:val="both"/>
        <w:rPr>
          <w:rFonts w:asciiTheme="minorHAnsi" w:eastAsiaTheme="minorEastAsia" w:hAnsiTheme="minorHAnsi" w:cstheme="minorBidi"/>
          <w:sz w:val="19"/>
          <w:szCs w:val="22"/>
          <w:lang w:eastAsia="en-US"/>
        </w:rPr>
      </w:pPr>
      <w:r w:rsidRPr="00626A46">
        <w:rPr>
          <w:rFonts w:asciiTheme="minorHAnsi" w:eastAsiaTheme="minorEastAsia" w:hAnsiTheme="minorHAnsi" w:cstheme="minorBidi"/>
          <w:b/>
          <w:sz w:val="19"/>
          <w:szCs w:val="22"/>
          <w:lang w:eastAsia="en-US"/>
        </w:rPr>
        <w:t>Canbin Hu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 xml:space="preserve">, Laurent Ferro-Famil, Gangyao Kuang, Camilla Brekke, Stian Normann Anfinsen. Ship detection using polarimetric RADARSAT-2 data and multi-dimensional coherent time-frequency analysis, Proceeding of PolinSAR 2013, Frascati, Italy, 2013. </w:t>
      </w:r>
    </w:p>
    <w:p w14:paraId="7BA484FB" w14:textId="7F83421A" w:rsidR="00626A46" w:rsidRPr="00626A46" w:rsidRDefault="00626A46" w:rsidP="00626A46">
      <w:pPr>
        <w:pStyle w:val="af1"/>
        <w:numPr>
          <w:ilvl w:val="0"/>
          <w:numId w:val="2"/>
        </w:numPr>
        <w:ind w:firstLineChars="0"/>
        <w:jc w:val="both"/>
        <w:rPr>
          <w:rFonts w:asciiTheme="minorHAnsi" w:eastAsiaTheme="minorEastAsia" w:hAnsiTheme="minorHAnsi" w:cstheme="minorBidi"/>
          <w:sz w:val="19"/>
          <w:szCs w:val="22"/>
          <w:lang w:eastAsia="en-US"/>
        </w:rPr>
      </w:pP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 xml:space="preserve">Yongzhen Li, Sinong Quan, Deliang Xiang, Wei Wang, </w:t>
      </w:r>
      <w:r w:rsidRPr="00626A46">
        <w:rPr>
          <w:rFonts w:asciiTheme="minorHAnsi" w:eastAsiaTheme="minorEastAsia" w:hAnsiTheme="minorHAnsi" w:cstheme="minorBidi"/>
          <w:b/>
          <w:sz w:val="19"/>
          <w:szCs w:val="22"/>
          <w:lang w:eastAsia="en-US"/>
        </w:rPr>
        <w:t>Canbin Hu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 xml:space="preserve">, Yemin Liu , Xuesong Wang, </w:t>
      </w:r>
      <w:r w:rsidRPr="00626A46">
        <w:rPr>
          <w:rFonts w:asciiTheme="minorHAnsi" w:eastAsiaTheme="minorEastAsia" w:hAnsiTheme="minorHAnsi" w:cstheme="minorBidi" w:hint="eastAsia"/>
          <w:sz w:val="19"/>
          <w:szCs w:val="22"/>
          <w:lang w:eastAsia="en-US"/>
        </w:rPr>
        <w:t>Ship Recognition from Chaff Clouds with Sophisticated Polarimetric Decomposition，Remote Sensing，2020,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>12,1813</w:t>
      </w:r>
      <w:r w:rsidRPr="00626A46">
        <w:rPr>
          <w:rFonts w:asciiTheme="minorHAnsi" w:eastAsiaTheme="minorEastAsia" w:hAnsiTheme="minorHAnsi" w:cstheme="minorBidi" w:hint="eastAsia"/>
          <w:sz w:val="19"/>
          <w:szCs w:val="22"/>
          <w:lang w:eastAsia="en-US"/>
        </w:rPr>
        <w:t xml:space="preserve"> </w:t>
      </w:r>
    </w:p>
    <w:p w14:paraId="718E810D" w14:textId="2F3821D6" w:rsidR="00626A46" w:rsidRPr="00626A46" w:rsidRDefault="00626A46" w:rsidP="00626A46">
      <w:pPr>
        <w:pStyle w:val="af1"/>
        <w:numPr>
          <w:ilvl w:val="0"/>
          <w:numId w:val="2"/>
        </w:numPr>
        <w:ind w:firstLineChars="0"/>
        <w:jc w:val="both"/>
        <w:rPr>
          <w:rFonts w:asciiTheme="minorHAnsi" w:eastAsiaTheme="minorEastAsia" w:hAnsiTheme="minorHAnsi" w:cstheme="minorBidi"/>
          <w:sz w:val="19"/>
          <w:szCs w:val="22"/>
          <w:lang w:eastAsia="en-US"/>
        </w:rPr>
      </w:pP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lastRenderedPageBreak/>
        <w:t xml:space="preserve">Sinong Quan, Boli Xiong, Deliang Xiang, </w:t>
      </w:r>
      <w:r w:rsidRPr="00626A46">
        <w:rPr>
          <w:rFonts w:asciiTheme="minorHAnsi" w:eastAsiaTheme="minorEastAsia" w:hAnsiTheme="minorHAnsi" w:cstheme="minorBidi"/>
          <w:b/>
          <w:sz w:val="19"/>
          <w:szCs w:val="22"/>
          <w:lang w:eastAsia="en-US"/>
        </w:rPr>
        <w:t>Canbin Hu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 xml:space="preserve">, Gangyao Kuang, </w:t>
      </w:r>
      <w:r w:rsidRPr="00626A46">
        <w:rPr>
          <w:rFonts w:asciiTheme="minorHAnsi" w:eastAsiaTheme="minorEastAsia" w:hAnsiTheme="minorHAnsi" w:cstheme="minorBidi" w:hint="eastAsia"/>
          <w:sz w:val="19"/>
          <w:szCs w:val="22"/>
          <w:lang w:eastAsia="en-US"/>
        </w:rPr>
        <w:t>Scattering Characterization of Obliquely Oriented Buildings from PolSAR Data Using Eigenvalue-Related Model，Remote Sensing，201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>9,11,581</w:t>
      </w:r>
      <w:r w:rsidRPr="00626A46">
        <w:rPr>
          <w:rFonts w:asciiTheme="minorHAnsi" w:eastAsiaTheme="minorEastAsia" w:hAnsiTheme="minorHAnsi" w:cstheme="minorBidi" w:hint="eastAsia"/>
          <w:sz w:val="19"/>
          <w:szCs w:val="22"/>
          <w:lang w:eastAsia="en-US"/>
        </w:rPr>
        <w:t xml:space="preserve"> </w:t>
      </w:r>
    </w:p>
    <w:p w14:paraId="07716819" w14:textId="1776E7FC" w:rsidR="00626A46" w:rsidRPr="00626A46" w:rsidRDefault="00626A46" w:rsidP="00626A46">
      <w:pPr>
        <w:pStyle w:val="af1"/>
        <w:numPr>
          <w:ilvl w:val="0"/>
          <w:numId w:val="2"/>
        </w:numPr>
        <w:ind w:firstLineChars="0"/>
        <w:jc w:val="both"/>
        <w:rPr>
          <w:rFonts w:asciiTheme="minorHAnsi" w:eastAsiaTheme="minorEastAsia" w:hAnsiTheme="minorHAnsi" w:cstheme="minorBidi"/>
          <w:sz w:val="19"/>
          <w:szCs w:val="22"/>
          <w:lang w:eastAsia="en-US"/>
        </w:rPr>
      </w:pP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 xml:space="preserve">Sinong Quan, Deliang Xiang, Boli Xiong, </w:t>
      </w:r>
      <w:r w:rsidRPr="00626A46">
        <w:rPr>
          <w:rFonts w:asciiTheme="minorHAnsi" w:eastAsiaTheme="minorEastAsia" w:hAnsiTheme="minorHAnsi" w:cstheme="minorBidi"/>
          <w:b/>
          <w:sz w:val="19"/>
          <w:szCs w:val="22"/>
          <w:lang w:eastAsia="en-US"/>
        </w:rPr>
        <w:t>Canbin Hu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 xml:space="preserve">, Gangyao Kuang(2017). A hierarchical extension of general four-component scattering power decomposition. Remote Sensing, 9(8), 856. </w:t>
      </w:r>
    </w:p>
    <w:p w14:paraId="24B3402E" w14:textId="47AE6ED6" w:rsidR="00626A46" w:rsidRPr="00626A46" w:rsidRDefault="00626A46" w:rsidP="00626A46">
      <w:pPr>
        <w:pStyle w:val="af1"/>
        <w:numPr>
          <w:ilvl w:val="0"/>
          <w:numId w:val="2"/>
        </w:numPr>
        <w:ind w:firstLineChars="0"/>
        <w:jc w:val="both"/>
        <w:rPr>
          <w:rFonts w:asciiTheme="minorHAnsi" w:eastAsiaTheme="minorEastAsia" w:hAnsiTheme="minorHAnsi" w:cstheme="minorBidi"/>
          <w:sz w:val="19"/>
          <w:szCs w:val="22"/>
          <w:lang w:eastAsia="en-US"/>
        </w:rPr>
      </w:pP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 xml:space="preserve">Deliang Xiang, Tao Tang, </w:t>
      </w:r>
      <w:r w:rsidRPr="00626A46">
        <w:rPr>
          <w:rFonts w:asciiTheme="minorHAnsi" w:eastAsiaTheme="minorEastAsia" w:hAnsiTheme="minorHAnsi" w:cstheme="minorBidi"/>
          <w:b/>
          <w:sz w:val="19"/>
          <w:szCs w:val="22"/>
          <w:lang w:eastAsia="en-US"/>
        </w:rPr>
        <w:t>Canbin Hu,</w:t>
      </w:r>
      <w:r w:rsidRPr="00626A46">
        <w:rPr>
          <w:rFonts w:asciiTheme="minorHAnsi" w:eastAsiaTheme="minorEastAsia" w:hAnsiTheme="minorHAnsi" w:cstheme="minorBidi"/>
          <w:sz w:val="19"/>
          <w:szCs w:val="22"/>
          <w:lang w:eastAsia="en-US"/>
        </w:rPr>
        <w:t xml:space="preserve"> Hongqi Fan, Yi Su (2016): Built-up area extraction from PolSAR imagery with model-based decomposition and polarimetric coherence. Remote Sensing, vol. 8, no. 8, pp. 685-697. </w:t>
      </w:r>
    </w:p>
    <w:p w14:paraId="371AA0E9" w14:textId="00730B25" w:rsidR="00DF7703" w:rsidRPr="00DF7703" w:rsidRDefault="00DF7703" w:rsidP="00DF7703">
      <w:pPr>
        <w:pStyle w:val="af1"/>
        <w:numPr>
          <w:ilvl w:val="0"/>
          <w:numId w:val="2"/>
        </w:numPr>
        <w:ind w:firstLineChars="0"/>
        <w:jc w:val="both"/>
        <w:rPr>
          <w:rFonts w:asciiTheme="minorHAnsi" w:eastAsiaTheme="minorEastAsia" w:hAnsiTheme="minorHAnsi" w:cstheme="minorBidi"/>
          <w:sz w:val="19"/>
          <w:szCs w:val="22"/>
        </w:rPr>
      </w:pPr>
      <w:r>
        <w:rPr>
          <w:rFonts w:asciiTheme="minorHAnsi" w:eastAsiaTheme="minorEastAsia" w:hAnsiTheme="minorHAnsi" w:cstheme="minorBidi" w:hint="eastAsia"/>
          <w:sz w:val="19"/>
          <w:szCs w:val="22"/>
        </w:rPr>
        <w:t>L</w:t>
      </w:r>
      <w:r>
        <w:rPr>
          <w:rFonts w:asciiTheme="minorHAnsi" w:eastAsiaTheme="minorEastAsia" w:hAnsiTheme="minorHAnsi" w:cstheme="minorBidi"/>
          <w:sz w:val="19"/>
          <w:szCs w:val="22"/>
        </w:rPr>
        <w:t xml:space="preserve">iang Zhang, Shengtao Lu, </w:t>
      </w:r>
      <w:r w:rsidRPr="00DF7703">
        <w:rPr>
          <w:rFonts w:asciiTheme="minorHAnsi" w:eastAsiaTheme="minorEastAsia" w:hAnsiTheme="minorHAnsi" w:cstheme="minorBidi"/>
          <w:b/>
          <w:sz w:val="19"/>
          <w:szCs w:val="22"/>
        </w:rPr>
        <w:t>Canbin Hu</w:t>
      </w:r>
      <w:r>
        <w:rPr>
          <w:rFonts w:asciiTheme="minorHAnsi" w:eastAsiaTheme="minorEastAsia" w:hAnsiTheme="minorHAnsi" w:cstheme="minorBidi"/>
          <w:sz w:val="19"/>
          <w:szCs w:val="22"/>
        </w:rPr>
        <w:t xml:space="preserve">, Deliang Xiang, etc. </w:t>
      </w:r>
      <w:r w:rsidRPr="00DF7703">
        <w:rPr>
          <w:rFonts w:asciiTheme="minorHAnsi" w:eastAsiaTheme="minorEastAsia" w:hAnsiTheme="minorHAnsi" w:cstheme="minorBidi"/>
          <w:sz w:val="19"/>
          <w:szCs w:val="22"/>
        </w:rPr>
        <w:t>Superpixel Generation for SAR Imagery Based on Fast</w:t>
      </w:r>
      <w:r>
        <w:rPr>
          <w:rFonts w:asciiTheme="minorHAnsi" w:eastAsiaTheme="minorEastAsia" w:hAnsiTheme="minorHAnsi" w:cstheme="minorBidi" w:hint="eastAsia"/>
          <w:sz w:val="19"/>
          <w:szCs w:val="22"/>
        </w:rPr>
        <w:t xml:space="preserve"> </w:t>
      </w:r>
      <w:r w:rsidRPr="00DF7703">
        <w:rPr>
          <w:rFonts w:asciiTheme="minorHAnsi" w:eastAsiaTheme="minorEastAsia" w:hAnsiTheme="minorHAnsi" w:cstheme="minorBidi"/>
          <w:sz w:val="19"/>
          <w:szCs w:val="22"/>
        </w:rPr>
        <w:t>DBSCAN Clustering with Edge Penalty</w:t>
      </w:r>
      <w:r>
        <w:rPr>
          <w:rFonts w:asciiTheme="minorHAnsi" w:eastAsiaTheme="minorEastAsia" w:hAnsiTheme="minorHAnsi" w:cstheme="minorBidi"/>
          <w:sz w:val="19"/>
          <w:szCs w:val="22"/>
        </w:rPr>
        <w:t>, IEEE</w:t>
      </w:r>
      <w:r w:rsidRPr="00DF7703">
        <w:t xml:space="preserve"> </w:t>
      </w:r>
      <w:r w:rsidRPr="00DF7703">
        <w:rPr>
          <w:rFonts w:asciiTheme="minorHAnsi" w:eastAsiaTheme="minorEastAsia" w:hAnsiTheme="minorHAnsi" w:cstheme="minorBidi"/>
          <w:sz w:val="19"/>
          <w:szCs w:val="22"/>
        </w:rPr>
        <w:t>Journal of Selected Topics in Applied Earth Observations and Remote</w:t>
      </w:r>
      <w:r>
        <w:rPr>
          <w:rFonts w:asciiTheme="minorHAnsi" w:eastAsiaTheme="minorEastAsia" w:hAnsiTheme="minorHAnsi" w:cstheme="minorBidi" w:hint="eastAsia"/>
          <w:sz w:val="19"/>
          <w:szCs w:val="22"/>
        </w:rPr>
        <w:t xml:space="preserve"> </w:t>
      </w:r>
      <w:r w:rsidRPr="00DF7703">
        <w:rPr>
          <w:rFonts w:asciiTheme="minorHAnsi" w:eastAsiaTheme="minorEastAsia" w:hAnsiTheme="minorHAnsi" w:cstheme="minorBidi"/>
          <w:sz w:val="19"/>
          <w:szCs w:val="22"/>
        </w:rPr>
        <w:t>Sensing</w:t>
      </w:r>
      <w:r>
        <w:rPr>
          <w:rFonts w:asciiTheme="minorHAnsi" w:eastAsiaTheme="minorEastAsia" w:hAnsiTheme="minorHAnsi" w:cstheme="minorBidi" w:hint="eastAsia"/>
          <w:sz w:val="19"/>
          <w:szCs w:val="22"/>
        </w:rPr>
        <w:t>，2</w:t>
      </w:r>
      <w:r>
        <w:rPr>
          <w:rFonts w:asciiTheme="minorHAnsi" w:eastAsiaTheme="minorEastAsia" w:hAnsiTheme="minorHAnsi" w:cstheme="minorBidi"/>
          <w:sz w:val="19"/>
          <w:szCs w:val="22"/>
        </w:rPr>
        <w:t>021</w:t>
      </w:r>
      <w:r>
        <w:rPr>
          <w:rFonts w:asciiTheme="minorHAnsi" w:eastAsiaTheme="minorEastAsia" w:hAnsiTheme="minorHAnsi" w:cstheme="minorBidi" w:hint="eastAsia"/>
          <w:sz w:val="19"/>
          <w:szCs w:val="22"/>
        </w:rPr>
        <w:t>；</w:t>
      </w:r>
    </w:p>
    <w:p w14:paraId="2AEADB25" w14:textId="77777777" w:rsidR="00DF7703" w:rsidRPr="00DF7703" w:rsidRDefault="00DF7703" w:rsidP="00DF7703">
      <w:pPr>
        <w:pStyle w:val="af0"/>
        <w:ind w:firstLine="440"/>
        <w:rPr>
          <w:lang w:eastAsia="zh-CN"/>
        </w:rPr>
      </w:pPr>
    </w:p>
    <w:sectPr w:rsidR="00DF7703" w:rsidRPr="00DF7703">
      <w:pgSz w:w="11907" w:h="1683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11CC0" w14:textId="77777777" w:rsidR="00E7577D" w:rsidRDefault="00E7577D" w:rsidP="0063143B">
      <w:pPr>
        <w:spacing w:after="0" w:line="240" w:lineRule="auto"/>
      </w:pPr>
      <w:r>
        <w:separator/>
      </w:r>
    </w:p>
  </w:endnote>
  <w:endnote w:type="continuationSeparator" w:id="0">
    <w:p w14:paraId="2949C6AF" w14:textId="77777777" w:rsidR="00E7577D" w:rsidRDefault="00E7577D" w:rsidP="00631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A8644" w14:textId="77777777" w:rsidR="00E7577D" w:rsidRDefault="00E7577D" w:rsidP="0063143B">
      <w:pPr>
        <w:spacing w:after="0" w:line="240" w:lineRule="auto"/>
      </w:pPr>
      <w:r>
        <w:separator/>
      </w:r>
    </w:p>
  </w:footnote>
  <w:footnote w:type="continuationSeparator" w:id="0">
    <w:p w14:paraId="76EF2B1D" w14:textId="77777777" w:rsidR="00E7577D" w:rsidRDefault="00E7577D" w:rsidP="00631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EA4"/>
    <w:multiLevelType w:val="singleLevel"/>
    <w:tmpl w:val="04475EA4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" w15:restartNumberingAfterBreak="0">
    <w:nsid w:val="2BD24CB9"/>
    <w:multiLevelType w:val="hybridMultilevel"/>
    <w:tmpl w:val="50869212"/>
    <w:lvl w:ilvl="0" w:tplc="50B8195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1F05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AB2569D"/>
    <w:multiLevelType w:val="hybridMultilevel"/>
    <w:tmpl w:val="8CDC5476"/>
    <w:lvl w:ilvl="0" w:tplc="E58CAF46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99D52D"/>
    <w:multiLevelType w:val="singleLevel"/>
    <w:tmpl w:val="6A99D52D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5" w15:restartNumberingAfterBreak="0">
    <w:nsid w:val="795E68DC"/>
    <w:multiLevelType w:val="hybridMultilevel"/>
    <w:tmpl w:val="2AF668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16"/>
    <w:rsid w:val="000C0966"/>
    <w:rsid w:val="00137842"/>
    <w:rsid w:val="00200A32"/>
    <w:rsid w:val="002561D5"/>
    <w:rsid w:val="00297025"/>
    <w:rsid w:val="002D4B84"/>
    <w:rsid w:val="00332F16"/>
    <w:rsid w:val="0039472F"/>
    <w:rsid w:val="003F0810"/>
    <w:rsid w:val="004137DF"/>
    <w:rsid w:val="0042079A"/>
    <w:rsid w:val="004D7531"/>
    <w:rsid w:val="00576D20"/>
    <w:rsid w:val="005D51F7"/>
    <w:rsid w:val="00626A46"/>
    <w:rsid w:val="00627307"/>
    <w:rsid w:val="0063143B"/>
    <w:rsid w:val="00664D2A"/>
    <w:rsid w:val="006A4FBD"/>
    <w:rsid w:val="007D2795"/>
    <w:rsid w:val="007F7AFF"/>
    <w:rsid w:val="008F4EA8"/>
    <w:rsid w:val="008F5C2B"/>
    <w:rsid w:val="00965484"/>
    <w:rsid w:val="00A65341"/>
    <w:rsid w:val="00AA2925"/>
    <w:rsid w:val="00AF0607"/>
    <w:rsid w:val="00B11432"/>
    <w:rsid w:val="00BF260D"/>
    <w:rsid w:val="00C252B9"/>
    <w:rsid w:val="00CD666A"/>
    <w:rsid w:val="00D01ADE"/>
    <w:rsid w:val="00D01D88"/>
    <w:rsid w:val="00D35F9B"/>
    <w:rsid w:val="00D5577B"/>
    <w:rsid w:val="00D72F85"/>
    <w:rsid w:val="00DF7703"/>
    <w:rsid w:val="00E37D8B"/>
    <w:rsid w:val="00E40A0E"/>
    <w:rsid w:val="00E667F1"/>
    <w:rsid w:val="00E7577D"/>
    <w:rsid w:val="00FF48B0"/>
    <w:rsid w:val="088E14C6"/>
    <w:rsid w:val="0FD473B1"/>
    <w:rsid w:val="121A31FF"/>
    <w:rsid w:val="126F6323"/>
    <w:rsid w:val="15BF4D2B"/>
    <w:rsid w:val="18406D0A"/>
    <w:rsid w:val="185713CE"/>
    <w:rsid w:val="1CAF76B7"/>
    <w:rsid w:val="20B20012"/>
    <w:rsid w:val="274D48CB"/>
    <w:rsid w:val="28EF61E5"/>
    <w:rsid w:val="2CA03684"/>
    <w:rsid w:val="2CCE7F5D"/>
    <w:rsid w:val="36824D70"/>
    <w:rsid w:val="3F4B2497"/>
    <w:rsid w:val="3FE6044F"/>
    <w:rsid w:val="55251B74"/>
    <w:rsid w:val="581F24C2"/>
    <w:rsid w:val="5C367DA5"/>
    <w:rsid w:val="5D892047"/>
    <w:rsid w:val="6AA65938"/>
    <w:rsid w:val="6B1D1087"/>
    <w:rsid w:val="6EAF5B19"/>
    <w:rsid w:val="7DC34CD6"/>
    <w:rsid w:val="7E70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C860647"/>
  <w15:docId w15:val="{7E2DFD2C-B590-40AF-AEF0-CA50E773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tabs>
        <w:tab w:val="center" w:pos="4680"/>
        <w:tab w:val="right" w:pos="9360"/>
      </w:tabs>
    </w:pPr>
  </w:style>
  <w:style w:type="paragraph" w:styleId="a8">
    <w:name w:val="Subtitle"/>
    <w:basedOn w:val="a"/>
    <w:next w:val="a"/>
    <w:link w:val="a9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ac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Strong"/>
    <w:basedOn w:val="a0"/>
    <w:uiPriority w:val="99"/>
    <w:qFormat/>
    <w:rPr>
      <w:b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a9">
    <w:name w:val="副标题 字符"/>
    <w:basedOn w:val="a0"/>
    <w:link w:val="a8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DocDefaults">
    <w:name w:val="DocDefaults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f0">
    <w:name w:val="List Paragraph"/>
    <w:basedOn w:val="a"/>
    <w:uiPriority w:val="99"/>
    <w:rsid w:val="007F7AFF"/>
    <w:pPr>
      <w:ind w:firstLineChars="200" w:firstLine="420"/>
    </w:pPr>
  </w:style>
  <w:style w:type="paragraph" w:customStyle="1" w:styleId="af1">
    <w:basedOn w:val="a"/>
    <w:next w:val="af0"/>
    <w:link w:val="af2"/>
    <w:uiPriority w:val="34"/>
    <w:qFormat/>
    <w:rsid w:val="00626A46"/>
    <w:pPr>
      <w:widowControl w:val="0"/>
      <w:autoSpaceDE w:val="0"/>
      <w:autoSpaceDN w:val="0"/>
      <w:adjustRightInd w:val="0"/>
      <w:spacing w:after="0" w:line="240" w:lineRule="auto"/>
      <w:ind w:firstLineChars="200" w:firstLine="420"/>
    </w:pPr>
    <w:rPr>
      <w:rFonts w:ascii="Arial" w:eastAsia="宋体" w:hAnsi="Arial" w:cs="Arial"/>
      <w:color w:val="000000"/>
      <w:sz w:val="24"/>
      <w:szCs w:val="24"/>
      <w:lang w:eastAsia="zh-CN"/>
    </w:rPr>
  </w:style>
  <w:style w:type="character" w:customStyle="1" w:styleId="af2">
    <w:name w:val="列表段落 字符"/>
    <w:link w:val="af1"/>
    <w:uiPriority w:val="34"/>
    <w:rsid w:val="00626A46"/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ist.buct.edu.cn/8488/list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user_zf</cp:lastModifiedBy>
  <cp:revision>3</cp:revision>
  <dcterms:created xsi:type="dcterms:W3CDTF">2020-03-24T14:57:00Z</dcterms:created>
  <dcterms:modified xsi:type="dcterms:W3CDTF">2021-12-28T11:44:00Z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