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sz w:val="36"/>
          <w:szCs w:val="36"/>
        </w:rPr>
        <w:t xml:space="preserve">Test- und Abnahmekonzept — Interne Vollversion</w:t>
      </w:r>
    </w:p>
    <w:p>
      <w:pPr>
        <w:spacing w:after="80" w:before="0"/>
        <w:jc w:val="center"/>
      </w:pPr>
      <w:r>
        <w:rPr>
          <w:rFonts w:ascii="Calibri" w:cs="Calibri" w:eastAsia="Calibri" w:hAnsi="Calibri"/>
          <w:sz w:val="26"/>
          <w:szCs w:val="26"/>
        </w:rPr>
        <w:t xml:space="preserve">Modul Umsatzsteuerabrechnung</w:t>
      </w:r>
    </w:p>
    <w:p>
      <w:pPr>
        <w:spacing w:after="240" w:before="0"/>
        <w:jc w:val="center"/>
      </w:pPr>
      <w:r>
        <w:rPr>
          <w:rFonts w:ascii="Calibri" w:cs="Calibri" w:eastAsia="Calibri" w:hAnsi="Calibri"/>
          <w:i/>
          <w:iCs/>
          <w:sz w:val="22"/>
          <w:szCs w:val="22"/>
        </w:rPr>
        <w:t xml:space="preserve">SoPra SoSe 2026 — Gruppe 15 — Adventure Bike ERP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Projekt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SoPra – Umsatzsteuerabrechnung (Gruppe 15)</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Phase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MS5 – Implementierung &amp; Test-/Abnahmekonzept</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Dokumentversion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 (strukturelle Überarbeitung)</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Stand</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2026-06-08</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Verfasser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Abel Adonai Mesfine, Moritz Jahnke, Nils Bachmann</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Verteiler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Geschäftsführung; Leitung IT, Vertrieb, Wareneingang, FiBu</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Bezugsdokumente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MS1–MS4 (Konzepte), AGENTS.md, docs/zielbild.md, docs/schnittstellen_annahmen.md, ADRs 001–007</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Ablage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docs/konzepte/MS5_Testkonzept_G15_Intern.docx</w:t>
            </w:r>
          </w:p>
        </w:tc>
      </w:tr>
    </w:tbl>
    <w:p>
      <w:r>
        <w:t xml:space="preserve"/>
      </w:r>
    </w:p>
    <w:p>
      <w:pPr>
        <w:pStyle w:val="Heading1"/>
        <w:spacing w:after="160" w:before="360"/>
      </w:pPr>
      <w:r>
        <w:rPr>
          <w:rFonts w:ascii="Calibri" w:cs="Calibri" w:eastAsia="Calibri" w:hAnsi="Calibri"/>
          <w:b/>
          <w:bCs/>
          <w:sz w:val="32"/>
          <w:szCs w:val="32"/>
        </w:rPr>
        <w:t xml:space="preserve">1. Ziel des Testkonzepts</w:t>
      </w:r>
    </w:p>
    <w:p>
      <w:pPr>
        <w:spacing w:after="80" w:before="80"/>
      </w:pPr>
      <w:r>
        <w:rPr>
          <w:rFonts w:ascii="Calibri" w:cs="Calibri" w:eastAsia="Calibri" w:hAnsi="Calibri"/>
          <w:sz w:val="22"/>
          <w:szCs w:val="22"/>
        </w:rPr>
        <w:t xml:space="preserve">Das Testkonzept stellt sicher, dass das Modul Umsatzsteuerabrechnung in dem Umfang abnahmefähig ist, der in der aktuellen Architektur fachlich abgedeckt wird. Es trennt bewusst zwischen Anforderungen, die wir abnehmen können, und Schnittstellen, die noch offen sind.</w:t>
      </w:r>
    </w:p>
    <w:p>
      <w:pPr>
        <w:spacing w:after="80" w:before="80"/>
      </w:pPr>
      <w:r>
        <w:rPr>
          <w:rFonts w:ascii="Calibri" w:cs="Calibri" w:eastAsia="Calibri" w:hAnsi="Calibri"/>
          <w:sz w:val="22"/>
          <w:szCs w:val="22"/>
        </w:rPr>
        <w:t xml:space="preserve">Konkret prüfen wir, dass:</w:t>
      </w:r>
    </w:p>
    <w:p>
      <w:pPr>
        <w:pStyle w:val="ListParagraph"/>
        <w:numPr>
          <w:ilvl w:val="0"/>
          <w:numId w:val="2"/>
        </w:numPr>
        <w:spacing w:after="40" w:before="40"/>
      </w:pPr>
      <w:r>
        <w:rPr>
          <w:rFonts w:ascii="Calibri" w:cs="Calibri" w:eastAsia="Calibri" w:hAnsi="Calibri"/>
          <w:sz w:val="22"/>
          <w:szCs w:val="22"/>
        </w:rPr>
        <w:t xml:space="preserve">die monatliche Umsatzsteuerabrechnung aus den definierten Schnittstellen-Views fachlich korrekt aggregiert wird (Quelle: zielbild.md, schnittstellen_annahmen.md);</w:t>
      </w:r>
    </w:p>
    <w:p>
      <w:pPr>
        <w:pStyle w:val="ListParagraph"/>
        <w:numPr>
          <w:ilvl w:val="0"/>
          <w:numId w:val="2"/>
        </w:numPr>
        <w:spacing w:after="40" w:before="40"/>
      </w:pPr>
      <w:r>
        <w:rPr>
          <w:rFonts w:ascii="Calibri" w:cs="Calibri" w:eastAsia="Calibri" w:hAnsi="Calibri"/>
          <w:sz w:val="22"/>
          <w:szCs w:val="22"/>
        </w:rPr>
        <w:t xml:space="preserve">Zahllast bzw. Vorsteuerüberhang gemäß ADR-004 als Absolutbetrag plus VAT_TYPE berechnet werden;</w:t>
      </w:r>
    </w:p>
    <w:p>
      <w:pPr>
        <w:pStyle w:val="ListParagraph"/>
        <w:numPr>
          <w:ilvl w:val="0"/>
          <w:numId w:val="2"/>
        </w:numPr>
        <w:spacing w:after="40" w:before="40"/>
      </w:pPr>
      <w:r>
        <w:rPr>
          <w:rFonts w:ascii="Calibri" w:cs="Calibri" w:eastAsia="Calibri" w:hAnsi="Calibri"/>
          <w:sz w:val="22"/>
          <w:szCs w:val="22"/>
        </w:rPr>
        <w:t xml:space="preserve">der Status-Workflow DRAFT → APPROVED → PAID (sowie Rückgabe APPROVED → DRAFT) rollenrichtig gemäß T_USER.SECURITYLEVEL und T_CODE_NEXT.SECURITY_LEVEL durchläuft;</w:t>
      </w:r>
    </w:p>
    <w:p>
      <w:pPr>
        <w:pStyle w:val="ListParagraph"/>
        <w:numPr>
          <w:ilvl w:val="0"/>
          <w:numId w:val="2"/>
        </w:numPr>
        <w:spacing w:after="40" w:before="40"/>
      </w:pPr>
      <w:r>
        <w:rPr>
          <w:rFonts w:ascii="Calibri" w:cs="Calibri" w:eastAsia="Calibri" w:hAnsi="Calibri"/>
          <w:sz w:val="22"/>
          <w:szCs w:val="22"/>
        </w:rPr>
        <w:t xml:space="preserve">abgeschlossene Abrechnungen unveränderlich bleiben und Korrekturen, soweit modelliert, periodenrichtig in eine spätere offene Periode einfließen;</w:t>
      </w:r>
    </w:p>
    <w:p>
      <w:pPr>
        <w:pStyle w:val="ListParagraph"/>
        <w:numPr>
          <w:ilvl w:val="0"/>
          <w:numId w:val="2"/>
        </w:numPr>
        <w:spacing w:after="40" w:before="40"/>
      </w:pPr>
      <w:r>
        <w:rPr>
          <w:rFonts w:ascii="Calibri" w:cs="Calibri" w:eastAsia="Calibri" w:hAnsi="Calibri"/>
          <w:sz w:val="22"/>
          <w:szCs w:val="22"/>
        </w:rPr>
        <w:t xml:space="preserve">die Lese-Views (V_LIST_OUTPUT_VAT, V_LIST_INPUT_VAT) das Modul stabil halten, auch wenn Partnergruppen ihre Quellstrukturen ändern;</w:t>
      </w:r>
    </w:p>
    <w:p>
      <w:pPr>
        <w:pStyle w:val="ListParagraph"/>
        <w:numPr>
          <w:ilvl w:val="0"/>
          <w:numId w:val="2"/>
        </w:numPr>
        <w:spacing w:after="40" w:before="40"/>
      </w:pPr>
      <w:r>
        <w:rPr>
          <w:rFonts w:ascii="Calibri" w:cs="Calibri" w:eastAsia="Calibri" w:hAnsi="Calibri"/>
          <w:sz w:val="22"/>
          <w:szCs w:val="22"/>
        </w:rPr>
        <w:t xml:space="preserve">Sandbox- und DEV-Umgebung sauber getrennt sind, ohne dauerhafte Fallback-Logik für veraltete Sandbox-Stände;</w:t>
      </w:r>
    </w:p>
    <w:p>
      <w:pPr>
        <w:pStyle w:val="ListParagraph"/>
        <w:numPr>
          <w:ilvl w:val="0"/>
          <w:numId w:val="2"/>
        </w:numPr>
        <w:spacing w:after="40" w:before="40"/>
      </w:pPr>
      <w:r>
        <w:rPr>
          <w:rFonts w:ascii="Calibri" w:cs="Calibri" w:eastAsia="Calibri" w:hAnsi="Calibri"/>
          <w:sz w:val="22"/>
          <w:szCs w:val="22"/>
        </w:rPr>
        <w:t xml:space="preserve">Fehler in der Berechnungslogik vor der gemeinsamen Integration mit Nachbargruppen auffallen.</w:t>
      </w:r>
    </w:p>
    <w:p>
      <w:pPr>
        <w:spacing w:after="80" w:before="80"/>
      </w:pPr>
      <w:r>
        <w:rPr>
          <w:rFonts w:ascii="Calibri" w:cs="Calibri" w:eastAsia="Calibri" w:hAnsi="Calibri"/>
          <w:sz w:val="22"/>
          <w:szCs w:val="22"/>
        </w:rPr>
        <w:t xml:space="preserve">Was nicht Gegenstand dieses Testkonzepts ist: Erzeugung oder Korrektur von Rechnungen in vorgelagerten Modulen, eigenständige Rekonstruktion einzelner Steuerwerte aus Material/Mengen außerhalb der dokumentierten Views, elektronische Übermittlung an das Finanzamt, vollständige Finanzbuchhaltung.</w:t>
      </w:r>
    </w:p>
    <w:p>
      <w:pPr>
        <w:pStyle w:val="Heading1"/>
        <w:spacing w:after="160" w:before="360"/>
      </w:pPr>
      <w:r>
        <w:rPr>
          <w:rFonts w:ascii="Calibri" w:cs="Calibri" w:eastAsia="Calibri" w:hAnsi="Calibri"/>
          <w:b/>
          <w:bCs/>
          <w:sz w:val="32"/>
          <w:szCs w:val="32"/>
        </w:rPr>
        <w:t xml:space="preserve">2. Testobjekt</w:t>
      </w:r>
    </w:p>
    <w:p>
      <w:pPr>
        <w:spacing w:after="80" w:before="80"/>
      </w:pPr>
      <w:r>
        <w:rPr>
          <w:rFonts w:ascii="Calibri" w:cs="Calibri" w:eastAsia="Calibri" w:hAnsi="Calibri"/>
          <w:sz w:val="22"/>
          <w:szCs w:val="22"/>
        </w:rPr>
        <w:t xml:space="preserve">Getestet werden die eigenen Artefakte des Moduls. Schnittstellen-Tabellen (T_INVOICE, T_SUPPLIER_INVOICE, T_PAYMENT_RECEIPT, T_CODE, T_USER) werden nur lesend verwendet und nicht selbst getestet — sie werden im Integrationstest in ihrer aktuellen Form mitverwendet.</w:t>
      </w:r>
    </w:p>
    <w:p>
      <w:pPr>
        <w:pStyle w:val="Heading2"/>
        <w:spacing w:after="120" w:before="240"/>
      </w:pPr>
      <w:r>
        <w:rPr>
          <w:rFonts w:ascii="Calibri" w:cs="Calibri" w:eastAsia="Calibri" w:hAnsi="Calibri"/>
          <w:b/>
          <w:bCs/>
          <w:sz w:val="26"/>
          <w:szCs w:val="26"/>
        </w:rPr>
        <w:t xml:space="preserve">2.1 Datenbankobjekte (eigene)</w:t>
      </w:r>
    </w:p>
    <w:p>
      <w:pPr>
        <w:pStyle w:val="ListParagraph"/>
        <w:numPr>
          <w:ilvl w:val="0"/>
          <w:numId w:val="2"/>
        </w:numPr>
        <w:spacing w:after="40" w:before="40"/>
      </w:pPr>
      <w:r>
        <w:rPr>
          <w:rFonts w:ascii="Calibri" w:cs="Calibri" w:eastAsia="Calibri" w:hAnsi="Calibri"/>
          <w:sz w:val="22"/>
          <w:szCs w:val="22"/>
        </w:rPr>
        <w:t xml:space="preserve">dbo.T_VAT_STATEMENT — Kopftabelle der monatlichen Abrechnung (Anlage durch Architekt)</w:t>
      </w:r>
    </w:p>
    <w:p>
      <w:pPr>
        <w:pStyle w:val="ListParagraph"/>
        <w:numPr>
          <w:ilvl w:val="0"/>
          <w:numId w:val="2"/>
        </w:numPr>
        <w:spacing w:after="40" w:before="40"/>
      </w:pPr>
      <w:r>
        <w:rPr>
          <w:rFonts w:ascii="Calibri" w:cs="Calibri" w:eastAsia="Calibri" w:hAnsi="Calibri"/>
          <w:sz w:val="22"/>
          <w:szCs w:val="22"/>
        </w:rPr>
        <w:t xml:space="preserve">dbo.T_VAT_STATEMENT_ITEM — Detailzeilen mit IS_CORRECTION, ORIGINAL_INVOICE_ID, SOURCE_INVOICE_DATE</w:t>
      </w:r>
    </w:p>
    <w:p>
      <w:pPr>
        <w:pStyle w:val="ListParagraph"/>
        <w:numPr>
          <w:ilvl w:val="0"/>
          <w:numId w:val="2"/>
        </w:numPr>
        <w:spacing w:after="40" w:before="40"/>
      </w:pPr>
      <w:r>
        <w:rPr>
          <w:rFonts w:ascii="Calibri" w:cs="Calibri" w:eastAsia="Calibri" w:hAnsi="Calibri"/>
          <w:sz w:val="22"/>
          <w:szCs w:val="22"/>
        </w:rPr>
        <w:t xml:space="preserve">dbo.T_CODE / dbo.T_CODE_NEXT — VAT_STATUS-Codes und erlaubte Übergänge mit SECURITY_LEVEL</w:t>
      </w:r>
    </w:p>
    <w:p>
      <w:pPr>
        <w:pStyle w:val="ListParagraph"/>
        <w:numPr>
          <w:ilvl w:val="0"/>
          <w:numId w:val="2"/>
        </w:numPr>
        <w:spacing w:after="40" w:before="40"/>
      </w:pPr>
      <w:r>
        <w:rPr>
          <w:rFonts w:ascii="Calibri" w:cs="Calibri" w:eastAsia="Calibri" w:hAnsi="Calibri"/>
          <w:sz w:val="22"/>
          <w:szCs w:val="22"/>
        </w:rPr>
        <w:t xml:space="preserve">list_views.LOV_VAT_STATUS — Werteliste für UI</w:t>
      </w:r>
    </w:p>
    <w:p>
      <w:pPr>
        <w:pStyle w:val="ListParagraph"/>
        <w:numPr>
          <w:ilvl w:val="0"/>
          <w:numId w:val="2"/>
        </w:numPr>
        <w:spacing w:after="40" w:before="40"/>
      </w:pPr>
      <w:r>
        <w:rPr>
          <w:rFonts w:ascii="Calibri" w:cs="Calibri" w:eastAsia="Calibri" w:hAnsi="Calibri"/>
          <w:sz w:val="22"/>
          <w:szCs w:val="22"/>
        </w:rPr>
        <w:t xml:space="preserve">list_views.V_LIST_OUTPUT_VAT — Ausgangsumsatzsteuer; aggregiert aktuell aus T_INVOICE_ITEM und T_MATERIAL.VAT, optional Skonto-/Spätkorrektur aus T_PAYMENT_RECEIPT, sofern Spalten vorhanden</w:t>
      </w:r>
    </w:p>
    <w:p>
      <w:pPr>
        <w:pStyle w:val="ListParagraph"/>
        <w:numPr>
          <w:ilvl w:val="0"/>
          <w:numId w:val="2"/>
        </w:numPr>
        <w:spacing w:after="40" w:before="40"/>
      </w:pPr>
      <w:r>
        <w:rPr>
          <w:rFonts w:ascii="Calibri" w:cs="Calibri" w:eastAsia="Calibri" w:hAnsi="Calibri"/>
          <w:sz w:val="22"/>
          <w:szCs w:val="22"/>
        </w:rPr>
        <w:t xml:space="preserve">list_views.V_LIST_INPUT_VAT — Vorsteuer aus T_SUPPLIER_INVOICE_ITEM (UNIT_VAT_PCT)</w:t>
      </w:r>
    </w:p>
    <w:p>
      <w:pPr>
        <w:pStyle w:val="ListParagraph"/>
        <w:numPr>
          <w:ilvl w:val="0"/>
          <w:numId w:val="2"/>
        </w:numPr>
        <w:spacing w:after="40" w:before="40"/>
      </w:pPr>
      <w:r>
        <w:rPr>
          <w:rFonts w:ascii="Calibri" w:cs="Calibri" w:eastAsia="Calibri" w:hAnsi="Calibri"/>
          <w:sz w:val="22"/>
          <w:szCs w:val="22"/>
        </w:rPr>
        <w:t xml:space="preserve">list_views.V_LIST_VAT_STATEMENT, V_LIST_VAT_STATEMENT_ITEM — Lese-Views für UI auf eigene Tabellen</w:t>
      </w:r>
    </w:p>
    <w:p>
      <w:pPr>
        <w:pStyle w:val="ListParagraph"/>
        <w:numPr>
          <w:ilvl w:val="0"/>
          <w:numId w:val="2"/>
        </w:numPr>
        <w:spacing w:after="40" w:before="40"/>
      </w:pPr>
      <w:r>
        <w:rPr>
          <w:rFonts w:ascii="Calibri" w:cs="Calibri" w:eastAsia="Calibri" w:hAnsi="Calibri"/>
          <w:sz w:val="22"/>
          <w:szCs w:val="22"/>
        </w:rPr>
        <w:t xml:space="preserve">list_views.V_LIST_VAT_USER — User-Auswahl für die Demo-Bedienung (Login + Security-Level, keine Passwörter)</w:t>
      </w:r>
    </w:p>
    <w:p>
      <w:pPr>
        <w:pStyle w:val="ListParagraph"/>
        <w:numPr>
          <w:ilvl w:val="0"/>
          <w:numId w:val="2"/>
        </w:numPr>
        <w:spacing w:after="40" w:before="40"/>
      </w:pPr>
      <w:r>
        <w:rPr>
          <w:rFonts w:ascii="Calibri" w:cs="Calibri" w:eastAsia="Calibri" w:hAnsi="Calibri"/>
          <w:sz w:val="22"/>
          <w:szCs w:val="22"/>
        </w:rPr>
        <w:t xml:space="preserve">stored_func.fn_check_vat_period — Periodenformat, 10.-des-Folgemonats-Regel, Sperrstatus</w:t>
      </w:r>
    </w:p>
    <w:p>
      <w:pPr>
        <w:pStyle w:val="ListParagraph"/>
        <w:numPr>
          <w:ilvl w:val="0"/>
          <w:numId w:val="2"/>
        </w:numPr>
        <w:spacing w:after="40" w:before="40"/>
      </w:pPr>
      <w:r>
        <w:rPr>
          <w:rFonts w:ascii="Calibri" w:cs="Calibri" w:eastAsia="Calibri" w:hAnsi="Calibri"/>
          <w:sz w:val="22"/>
          <w:szCs w:val="22"/>
        </w:rPr>
        <w:t xml:space="preserve">stored_func.fn_calculate_vat_balance — Saldo als Absolutbetrag + VAT_TYPE</w:t>
      </w:r>
    </w:p>
    <w:p>
      <w:pPr>
        <w:pStyle w:val="ListParagraph"/>
        <w:numPr>
          <w:ilvl w:val="0"/>
          <w:numId w:val="2"/>
        </w:numPr>
        <w:spacing w:after="40" w:before="40"/>
      </w:pPr>
      <w:r>
        <w:rPr>
          <w:rFonts w:ascii="Calibri" w:cs="Calibri" w:eastAsia="Calibri" w:hAnsi="Calibri"/>
          <w:sz w:val="22"/>
          <w:szCs w:val="22"/>
        </w:rPr>
        <w:t xml:space="preserve">stored_func.fn_get_user_security_level — Security-Level eines Users aus T_USER</w:t>
      </w:r>
    </w:p>
    <w:p>
      <w:pPr>
        <w:pStyle w:val="ListParagraph"/>
        <w:numPr>
          <w:ilvl w:val="0"/>
          <w:numId w:val="2"/>
        </w:numPr>
        <w:spacing w:after="40" w:before="40"/>
      </w:pPr>
      <w:r>
        <w:rPr>
          <w:rFonts w:ascii="Calibri" w:cs="Calibri" w:eastAsia="Calibri" w:hAnsi="Calibri"/>
          <w:sz w:val="22"/>
          <w:szCs w:val="22"/>
        </w:rPr>
        <w:t xml:space="preserve">stored_proc.sp_create_vat_statement — Anlage oder Neuberechnung eines DRAFT</w:t>
      </w:r>
    </w:p>
    <w:p>
      <w:pPr>
        <w:pStyle w:val="ListParagraph"/>
        <w:numPr>
          <w:ilvl w:val="0"/>
          <w:numId w:val="2"/>
        </w:numPr>
        <w:spacing w:after="40" w:before="40"/>
      </w:pPr>
      <w:r>
        <w:rPr>
          <w:rFonts w:ascii="Calibri" w:cs="Calibri" w:eastAsia="Calibri" w:hAnsi="Calibri"/>
          <w:sz w:val="22"/>
          <w:szCs w:val="22"/>
        </w:rPr>
        <w:t xml:space="preserve">stored_proc.sp_approve_vat_statement — DRAFT → APPROVED (CFO, Level 3)</w:t>
      </w:r>
    </w:p>
    <w:p>
      <w:pPr>
        <w:pStyle w:val="ListParagraph"/>
        <w:numPr>
          <w:ilvl w:val="0"/>
          <w:numId w:val="2"/>
        </w:numPr>
        <w:spacing w:after="40" w:before="40"/>
      </w:pPr>
      <w:r>
        <w:rPr>
          <w:rFonts w:ascii="Calibri" w:cs="Calibri" w:eastAsia="Calibri" w:hAnsi="Calibri"/>
          <w:sz w:val="22"/>
          <w:szCs w:val="22"/>
        </w:rPr>
        <w:t xml:space="preserve">stored_proc.sp_pay_vat_statement — APPROVED → PAID (Leitung FiBu, Level 2)</w:t>
      </w:r>
    </w:p>
    <w:p>
      <w:pPr>
        <w:pStyle w:val="ListParagraph"/>
        <w:numPr>
          <w:ilvl w:val="0"/>
          <w:numId w:val="2"/>
        </w:numPr>
        <w:spacing w:after="40" w:before="40"/>
      </w:pPr>
      <w:r>
        <w:rPr>
          <w:rFonts w:ascii="Calibri" w:cs="Calibri" w:eastAsia="Calibri" w:hAnsi="Calibri"/>
          <w:sz w:val="22"/>
          <w:szCs w:val="22"/>
        </w:rPr>
        <w:t xml:space="preserve">stored_proc.sp_reject_vat_statement — APPROVED → DRAFT (CFO, Level 3)</w:t>
      </w:r>
    </w:p>
    <w:p>
      <w:pPr>
        <w:pStyle w:val="Heading2"/>
        <w:spacing w:after="120" w:before="240"/>
      </w:pPr>
      <w:r>
        <w:rPr>
          <w:rFonts w:ascii="Calibri" w:cs="Calibri" w:eastAsia="Calibri" w:hAnsi="Calibri"/>
          <w:b/>
          <w:bCs/>
          <w:sz w:val="26"/>
          <w:szCs w:val="26"/>
        </w:rPr>
        <w:t xml:space="preserve">2.2 Frontend</w:t>
      </w:r>
    </w:p>
    <w:p>
      <w:pPr>
        <w:pStyle w:val="ListParagraph"/>
        <w:numPr>
          <w:ilvl w:val="0"/>
          <w:numId w:val="2"/>
        </w:numPr>
        <w:spacing w:after="40" w:before="40"/>
      </w:pPr>
      <w:r>
        <w:rPr>
          <w:rFonts w:ascii="Calibri" w:cs="Calibri" w:eastAsia="Calibri" w:hAnsi="Calibri"/>
          <w:sz w:val="22"/>
          <w:szCs w:val="22"/>
        </w:rPr>
        <w:t xml:space="preserve">Streamlit-App unter app/ mit Seiten Übersicht, Neue Abrechnung, Detail</w:t>
      </w:r>
    </w:p>
    <w:p>
      <w:pPr>
        <w:pStyle w:val="ListParagraph"/>
        <w:numPr>
          <w:ilvl w:val="0"/>
          <w:numId w:val="2"/>
        </w:numPr>
        <w:spacing w:after="40" w:before="40"/>
      </w:pPr>
      <w:r>
        <w:rPr>
          <w:rFonts w:ascii="Calibri" w:cs="Calibri" w:eastAsia="Calibri" w:hAnsi="Calibri"/>
          <w:sz w:val="22"/>
          <w:szCs w:val="22"/>
        </w:rPr>
        <w:t xml:space="preserve">DB-Zugriffsschicht app/db.py (APP_DB_PROFILE = app | dev | sandbox)</w:t>
      </w:r>
    </w:p>
    <w:p>
      <w:pPr>
        <w:pStyle w:val="ListParagraph"/>
        <w:numPr>
          <w:ilvl w:val="0"/>
          <w:numId w:val="2"/>
        </w:numPr>
        <w:spacing w:after="40" w:before="40"/>
      </w:pPr>
      <w:r>
        <w:rPr>
          <w:rFonts w:ascii="Calibri" w:cs="Calibri" w:eastAsia="Calibri" w:hAnsi="Calibri"/>
          <w:sz w:val="22"/>
          <w:szCs w:val="22"/>
        </w:rPr>
        <w:t xml:space="preserve">Service-Schicht app/services/vat.py</w:t>
      </w:r>
    </w:p>
    <w:p>
      <w:pPr>
        <w:pStyle w:val="Heading2"/>
        <w:spacing w:after="120" w:before="240"/>
      </w:pPr>
      <w:r>
        <w:rPr>
          <w:rFonts w:ascii="Calibri" w:cs="Calibri" w:eastAsia="Calibri" w:hAnsi="Calibri"/>
          <w:b/>
          <w:bCs/>
          <w:sz w:val="26"/>
          <w:szCs w:val="26"/>
        </w:rPr>
        <w:t xml:space="preserve">2.3 Schnittstellen (lesend)</w:t>
      </w:r>
    </w:p>
    <w:p>
      <w:pPr>
        <w:pStyle w:val="ListParagraph"/>
        <w:numPr>
          <w:ilvl w:val="0"/>
          <w:numId w:val="2"/>
        </w:numPr>
        <w:spacing w:after="40" w:before="40"/>
      </w:pPr>
      <w:r>
        <w:rPr>
          <w:rFonts w:ascii="Calibri" w:cs="Calibri" w:eastAsia="Calibri" w:hAnsi="Calibri"/>
          <w:sz w:val="22"/>
          <w:szCs w:val="22"/>
        </w:rPr>
        <w:t xml:space="preserve">Gruppe 7 / Ausgangsrechnungen: T_INVOICE und T_INVOICE_ITEM; Kopf hat aktuell keine TAX_AMOUNT-Spalte, deshalb itembasiert</w:t>
      </w:r>
    </w:p>
    <w:p>
      <w:pPr>
        <w:pStyle w:val="ListParagraph"/>
        <w:numPr>
          <w:ilvl w:val="0"/>
          <w:numId w:val="2"/>
        </w:numPr>
        <w:spacing w:after="40" w:before="40"/>
      </w:pPr>
      <w:r>
        <w:rPr>
          <w:rFonts w:ascii="Calibri" w:cs="Calibri" w:eastAsia="Calibri" w:hAnsi="Calibri"/>
          <w:sz w:val="22"/>
          <w:szCs w:val="22"/>
        </w:rPr>
        <w:t xml:space="preserve">Gruppe 4 / Eingangsrechnungen: T_SUPPLIER_INVOICE und T_SUPPLIER_INVOICE_ITEM; Vorsteuer itembasiert über UNIT_VAT_PCT</w:t>
      </w:r>
    </w:p>
    <w:p>
      <w:pPr>
        <w:pStyle w:val="ListParagraph"/>
        <w:numPr>
          <w:ilvl w:val="0"/>
          <w:numId w:val="2"/>
        </w:numPr>
        <w:spacing w:after="40" w:before="40"/>
      </w:pPr>
      <w:r>
        <w:rPr>
          <w:rFonts w:ascii="Calibri" w:cs="Calibri" w:eastAsia="Calibri" w:hAnsi="Calibri"/>
          <w:sz w:val="22"/>
          <w:szCs w:val="22"/>
        </w:rPr>
        <w:t xml:space="preserve">Gruppe 8 / Zahlungen: T_PAYMENT_RECEIPT; Skonto/Zahlungsdifferenz als optionale Korrekturzeile, sobald die zugehörigen Spalten gepflegt sind</w:t>
      </w:r>
    </w:p>
    <w:p>
      <w:pPr>
        <w:pStyle w:val="ListParagraph"/>
        <w:numPr>
          <w:ilvl w:val="0"/>
          <w:numId w:val="2"/>
        </w:numPr>
        <w:spacing w:after="40" w:before="40"/>
      </w:pPr>
      <w:r>
        <w:rPr>
          <w:rFonts w:ascii="Calibri" w:cs="Calibri" w:eastAsia="Calibri" w:hAnsi="Calibri"/>
          <w:sz w:val="22"/>
          <w:szCs w:val="22"/>
        </w:rPr>
        <w:t xml:space="preserve">Gruppen 9 / 10 (Barrechnungen Freiburg/Rosenberg): technische Quelle aktuell offen, nicht im Konsum integriert</w:t>
      </w:r>
    </w:p>
    <w:p>
      <w:pPr>
        <w:pStyle w:val="ListParagraph"/>
        <w:numPr>
          <w:ilvl w:val="0"/>
          <w:numId w:val="2"/>
        </w:numPr>
        <w:spacing w:after="40" w:before="40"/>
      </w:pPr>
      <w:r>
        <w:rPr>
          <w:rFonts w:ascii="Calibri" w:cs="Calibri" w:eastAsia="Calibri" w:hAnsi="Calibri"/>
          <w:sz w:val="22"/>
          <w:szCs w:val="22"/>
        </w:rPr>
        <w:t xml:space="preserve">Zentral: T_CODE, T_CODE_NEXT (Statusfolge inkl. SECURITY_LEVEL), T_USER (SECURITYLEVEL)</w:t>
      </w:r>
    </w:p>
    <w:p>
      <w:pPr>
        <w:pStyle w:val="Heading1"/>
        <w:spacing w:after="160" w:before="360"/>
      </w:pPr>
      <w:r>
        <w:rPr>
          <w:rFonts w:ascii="Calibri" w:cs="Calibri" w:eastAsia="Calibri" w:hAnsi="Calibri"/>
          <w:b/>
          <w:bCs/>
          <w:sz w:val="32"/>
          <w:szCs w:val="32"/>
        </w:rPr>
        <w:t xml:space="preserve">3. Testarten</w:t>
      </w:r>
    </w:p>
    <w:p>
      <w:pPr>
        <w:pStyle w:val="Heading2"/>
        <w:spacing w:after="120" w:before="240"/>
      </w:pPr>
      <w:r>
        <w:rPr>
          <w:rFonts w:ascii="Calibri" w:cs="Calibri" w:eastAsia="Calibri" w:hAnsi="Calibri"/>
          <w:b/>
          <w:bCs/>
          <w:sz w:val="26"/>
          <w:szCs w:val="26"/>
        </w:rPr>
        <w:t xml:space="preserve">3.1 Unit-Tests (Datenbank-Unit-Tests)</w:t>
      </w:r>
    </w:p>
    <w:p>
      <w:pPr>
        <w:spacing w:after="80" w:before="80"/>
      </w:pPr>
      <w:r>
        <w:rPr>
          <w:rFonts w:ascii="Calibri" w:cs="Calibri" w:eastAsia="Calibri" w:hAnsi="Calibri"/>
          <w:b/>
          <w:bCs/>
          <w:sz w:val="22"/>
          <w:szCs w:val="22"/>
        </w:rPr>
        <w:t xml:space="preserve">Ziel: </w:t>
      </w:r>
      <w:r>
        <w:rPr>
          <w:rFonts w:ascii="Calibri" w:cs="Calibri" w:eastAsia="Calibri" w:hAnsi="Calibri"/>
          <w:sz w:val="22"/>
          <w:szCs w:val="22"/>
        </w:rPr>
        <w:t xml:space="preserve">Prüfung einzelner T-SQL-Bausteine isoliert, ohne Abhängigkeit zu Schnittstellen-Tabellen anderer Gruppen.</w:t>
      </w:r>
    </w:p>
    <w:p>
      <w:pPr>
        <w:spacing w:after="80" w:before="80"/>
      </w:pPr>
      <w:r>
        <w:rPr>
          <w:rFonts w:ascii="Calibri" w:cs="Calibri" w:eastAsia="Calibri" w:hAnsi="Calibri"/>
          <w:b/>
          <w:bCs/>
          <w:sz w:val="22"/>
          <w:szCs w:val="22"/>
        </w:rPr>
        <w:t xml:space="preserve">Beispiele:</w:t>
      </w:r>
    </w:p>
    <w:p>
      <w:pPr>
        <w:pStyle w:val="ListParagraph"/>
        <w:numPr>
          <w:ilvl w:val="0"/>
          <w:numId w:val="2"/>
        </w:numPr>
        <w:spacing w:after="40" w:before="40"/>
      </w:pPr>
      <w:r>
        <w:rPr>
          <w:rFonts w:ascii="Calibri" w:cs="Calibri" w:eastAsia="Calibri" w:hAnsi="Calibri"/>
          <w:sz w:val="22"/>
          <w:szCs w:val="22"/>
        </w:rPr>
        <w:t xml:space="preserve">fn_calculate_vat_balance: Zahllast, Überhang, Neutral; Randfälle USt=0, VSt=0, beide 0 (TC-CAL-01..06)</w:t>
      </w:r>
    </w:p>
    <w:p>
      <w:pPr>
        <w:pStyle w:val="ListParagraph"/>
        <w:numPr>
          <w:ilvl w:val="0"/>
          <w:numId w:val="2"/>
        </w:numPr>
        <w:spacing w:after="40" w:before="40"/>
      </w:pPr>
      <w:r>
        <w:rPr>
          <w:rFonts w:ascii="Calibri" w:cs="Calibri" w:eastAsia="Calibri" w:hAnsi="Calibri"/>
          <w:sz w:val="22"/>
          <w:szCs w:val="22"/>
        </w:rPr>
        <w:t xml:space="preserve">fn_check_vat_period: zu früher Aufruf vor dem 10., DRAFT-Reset erlaubt, APPROVED/PAID gesperrt, ungültiges Format (TC-CKP-01..06)</w:t>
      </w:r>
    </w:p>
    <w:p>
      <w:pPr>
        <w:pStyle w:val="ListParagraph"/>
        <w:numPr>
          <w:ilvl w:val="0"/>
          <w:numId w:val="2"/>
        </w:numPr>
        <w:spacing w:after="40" w:before="40"/>
      </w:pPr>
      <w:r>
        <w:rPr>
          <w:rFonts w:ascii="Calibri" w:cs="Calibri" w:eastAsia="Calibri" w:hAnsi="Calibri"/>
          <w:sz w:val="22"/>
          <w:szCs w:val="22"/>
        </w:rPr>
        <w:t xml:space="preserve">fn_get_user_security_level: Rückgabe für gültigen User, unbekannten User, NULL</w:t>
      </w:r>
    </w:p>
    <w:p>
      <w:pPr>
        <w:pStyle w:val="ListParagraph"/>
        <w:numPr>
          <w:ilvl w:val="0"/>
          <w:numId w:val="2"/>
        </w:numPr>
        <w:spacing w:after="40" w:before="40"/>
      </w:pPr>
      <w:r>
        <w:rPr>
          <w:rFonts w:ascii="Calibri" w:cs="Calibri" w:eastAsia="Calibri" w:hAnsi="Calibri"/>
          <w:sz w:val="22"/>
          <w:szCs w:val="22"/>
        </w:rPr>
        <w:t xml:space="preserve">CHECK-Constraints in T_VAT_STATEMENT: VAT_PERIOD-Format, VAT_STATUS-Whitelist, VAT_BALANCE ≥ 0</w:t>
      </w:r>
    </w:p>
    <w:p>
      <w:pPr>
        <w:pStyle w:val="ListParagraph"/>
        <w:numPr>
          <w:ilvl w:val="0"/>
          <w:numId w:val="2"/>
        </w:numPr>
        <w:spacing w:after="40" w:before="40"/>
      </w:pPr>
      <w:r>
        <w:rPr>
          <w:rFonts w:ascii="Calibri" w:cs="Calibri" w:eastAsia="Calibri" w:hAnsi="Calibri"/>
          <w:sz w:val="22"/>
          <w:szCs w:val="22"/>
        </w:rPr>
        <w:t xml:space="preserve">FOREIGN KEY und UNIQUE in T_VAT_STATEMENT_ITEM (Mehrfachberücksichtigung verhindern)</w:t>
      </w:r>
    </w:p>
    <w:p>
      <w:pPr>
        <w:spacing w:after="80" w:before="80"/>
      </w:pPr>
      <w:r>
        <w:rPr>
          <w:rFonts w:ascii="Calibri" w:cs="Calibri" w:eastAsia="Calibri" w:hAnsi="Calibri"/>
          <w:b/>
          <w:bCs/>
          <w:sz w:val="22"/>
          <w:szCs w:val="22"/>
        </w:rPr>
        <w:t xml:space="preserve">Werkzeuge: </w:t>
      </w:r>
      <w:r>
        <w:rPr>
          <w:rFonts w:ascii="Calibri" w:cs="Calibri" w:eastAsia="Calibri" w:hAnsi="Calibri"/>
          <w:sz w:val="22"/>
          <w:szCs w:val="22"/>
        </w:rPr>
        <w:t xml:space="preserve">SQL-Skripte unter tests/sql/. Pro Testfall ein erwarteter Datensatz mit RESULT=PASS/FAIL. Geplant: pytest-Wrapper, derzeit noch nicht umgesetzt.</w:t>
      </w:r>
    </w:p>
    <w:p>
      <w:pPr>
        <w:pStyle w:val="Heading2"/>
        <w:spacing w:after="120" w:before="240"/>
      </w:pPr>
      <w:r>
        <w:rPr>
          <w:rFonts w:ascii="Calibri" w:cs="Calibri" w:eastAsia="Calibri" w:hAnsi="Calibri"/>
          <w:b/>
          <w:bCs/>
          <w:sz w:val="26"/>
          <w:szCs w:val="26"/>
        </w:rPr>
        <w:t xml:space="preserve">3.2 Integrationstests</w:t>
      </w:r>
    </w:p>
    <w:p>
      <w:pPr>
        <w:spacing w:after="80" w:before="80"/>
      </w:pPr>
      <w:r>
        <w:rPr>
          <w:rFonts w:ascii="Calibri" w:cs="Calibri" w:eastAsia="Calibri" w:hAnsi="Calibri"/>
          <w:b/>
          <w:bCs/>
          <w:sz w:val="22"/>
          <w:szCs w:val="22"/>
        </w:rPr>
        <w:t xml:space="preserve">Ziel: </w:t>
      </w:r>
      <w:r>
        <w:rPr>
          <w:rFonts w:ascii="Calibri" w:cs="Calibri" w:eastAsia="Calibri" w:hAnsi="Calibri"/>
          <w:sz w:val="22"/>
          <w:szCs w:val="22"/>
        </w:rPr>
        <w:t xml:space="preserve">Zusammenspiel der Modulbausteine sowie Konsum der Schnittstellen-Views in der Sandbox.</w:t>
      </w:r>
    </w:p>
    <w:p>
      <w:pPr>
        <w:spacing w:after="80" w:before="80"/>
      </w:pPr>
      <w:r>
        <w:rPr>
          <w:rFonts w:ascii="Calibri" w:cs="Calibri" w:eastAsia="Calibri" w:hAnsi="Calibri"/>
          <w:b/>
          <w:bCs/>
          <w:sz w:val="22"/>
          <w:szCs w:val="22"/>
        </w:rPr>
        <w:t xml:space="preserve">Beispiele:</w:t>
      </w:r>
    </w:p>
    <w:p>
      <w:pPr>
        <w:pStyle w:val="ListParagraph"/>
        <w:numPr>
          <w:ilvl w:val="0"/>
          <w:numId w:val="2"/>
        </w:numPr>
        <w:spacing w:after="40" w:before="40"/>
      </w:pPr>
      <w:r>
        <w:rPr>
          <w:rFonts w:ascii="Calibri" w:cs="Calibri" w:eastAsia="Calibri" w:hAnsi="Calibri"/>
          <w:sz w:val="22"/>
          <w:szCs w:val="22"/>
        </w:rPr>
        <w:t xml:space="preserve">Vollständiger Statusdurchlauf: sp_create_vat_statement → sp_approve_vat_statement → sp_pay_vat_statement; Audit-Spalten (CREATED_BY/AT, APPROVED_BY/AT, CLOSED_BY/AT) korrekt gesetzt</w:t>
      </w:r>
    </w:p>
    <w:p>
      <w:pPr>
        <w:pStyle w:val="ListParagraph"/>
        <w:numPr>
          <w:ilvl w:val="0"/>
          <w:numId w:val="2"/>
        </w:numPr>
        <w:spacing w:after="40" w:before="40"/>
      </w:pPr>
      <w:r>
        <w:rPr>
          <w:rFonts w:ascii="Calibri" w:cs="Calibri" w:eastAsia="Calibri" w:hAnsi="Calibri"/>
          <w:sz w:val="22"/>
          <w:szCs w:val="22"/>
        </w:rPr>
        <w:t xml:space="preserve">Rückgabe-Pfad: Anlage → Freigabe → Rückweisung → Neu berechnen → erneut freigeben (sp_reject_vat_statement)</w:t>
      </w:r>
    </w:p>
    <w:p>
      <w:pPr>
        <w:pStyle w:val="ListParagraph"/>
        <w:numPr>
          <w:ilvl w:val="0"/>
          <w:numId w:val="2"/>
        </w:numPr>
        <w:spacing w:after="40" w:before="40"/>
      </w:pPr>
      <w:r>
        <w:rPr>
          <w:rFonts w:ascii="Calibri" w:cs="Calibri" w:eastAsia="Calibri" w:hAnsi="Calibri"/>
          <w:sz w:val="22"/>
          <w:szCs w:val="22"/>
        </w:rPr>
        <w:t xml:space="preserve">View-Konsum: sp_create_vat_statement übernimmt sämtliche Zeilen aus V_LIST_OUTPUT_VAT / V_LIST_INPUT_VAT für die Periode 1:1 in T_VAT_STATEMENT_ITEM (Snapshot-Idee aus zielbild.md)</w:t>
      </w:r>
    </w:p>
    <w:p>
      <w:pPr>
        <w:pStyle w:val="ListParagraph"/>
        <w:numPr>
          <w:ilvl w:val="0"/>
          <w:numId w:val="2"/>
        </w:numPr>
        <w:spacing w:after="40" w:before="40"/>
      </w:pPr>
      <w:r>
        <w:rPr>
          <w:rFonts w:ascii="Calibri" w:cs="Calibri" w:eastAsia="Calibri" w:hAnsi="Calibri"/>
          <w:sz w:val="22"/>
          <w:szCs w:val="22"/>
        </w:rPr>
        <w:t xml:space="preserve">Periodenwechsel: zwei aufeinanderfolgende Monate können unabhängig oder nach erfolgreichem Abschluss der ersten Periode angelegt werden</w:t>
      </w:r>
    </w:p>
    <w:p>
      <w:pPr>
        <w:pStyle w:val="ListParagraph"/>
        <w:numPr>
          <w:ilvl w:val="0"/>
          <w:numId w:val="2"/>
        </w:numPr>
        <w:spacing w:after="40" w:before="40"/>
      </w:pPr>
      <w:r>
        <w:rPr>
          <w:rFonts w:ascii="Calibri" w:cs="Calibri" w:eastAsia="Calibri" w:hAnsi="Calibri"/>
          <w:sz w:val="22"/>
          <w:szCs w:val="22"/>
        </w:rPr>
        <w:t xml:space="preserve">Skonto-Korrektur, sobald T_PAYMENT_RECEIPT die nötigen Spalten gepflegt hat: anteilige Steuerkorrektur fließt als negative Zeile in die Periode, deren SOURCE_INVOICE_DATE getroffen wird</w:t>
      </w:r>
    </w:p>
    <w:p>
      <w:pPr>
        <w:pStyle w:val="ListParagraph"/>
        <w:numPr>
          <w:ilvl w:val="0"/>
          <w:numId w:val="2"/>
        </w:numPr>
        <w:spacing w:after="40" w:before="40"/>
      </w:pPr>
      <w:r>
        <w:rPr>
          <w:rFonts w:ascii="Calibri" w:cs="Calibri" w:eastAsia="Calibri" w:hAnsi="Calibri"/>
          <w:sz w:val="22"/>
          <w:szCs w:val="22"/>
        </w:rPr>
        <w:t xml:space="preserve">Frontend ↔ DB: Seite „Neue Abrechnung" ruft sp_create_vat_statement; Fehlermeldungen aus der Procedure (50001/50002/50010) werden in der UI sauber angezeigt</w:t>
      </w:r>
    </w:p>
    <w:p>
      <w:pPr>
        <w:pStyle w:val="Heading2"/>
        <w:spacing w:after="120" w:before="240"/>
      </w:pPr>
      <w:r>
        <w:rPr>
          <w:rFonts w:ascii="Calibri" w:cs="Calibri" w:eastAsia="Calibri" w:hAnsi="Calibri"/>
          <w:b/>
          <w:bCs/>
          <w:sz w:val="26"/>
          <w:szCs w:val="26"/>
        </w:rPr>
        <w:t xml:space="preserve">3.3 Negativ- und Grenzwerttests</w:t>
      </w:r>
    </w:p>
    <w:p>
      <w:pPr>
        <w:spacing w:after="80" w:before="80"/>
      </w:pPr>
      <w:r>
        <w:rPr>
          <w:rFonts w:ascii="Calibri" w:cs="Calibri" w:eastAsia="Calibri" w:hAnsi="Calibri"/>
          <w:b/>
          <w:bCs/>
          <w:sz w:val="22"/>
          <w:szCs w:val="22"/>
        </w:rPr>
        <w:t xml:space="preserve">Beispiele:</w:t>
      </w:r>
    </w:p>
    <w:p>
      <w:pPr>
        <w:pStyle w:val="ListParagraph"/>
        <w:numPr>
          <w:ilvl w:val="0"/>
          <w:numId w:val="2"/>
        </w:numPr>
        <w:spacing w:after="40" w:before="40"/>
      </w:pPr>
      <w:r>
        <w:rPr>
          <w:rFonts w:ascii="Calibri" w:cs="Calibri" w:eastAsia="Calibri" w:hAnsi="Calibri"/>
          <w:sz w:val="22"/>
          <w:szCs w:val="22"/>
        </w:rPr>
        <w:t xml:space="preserve">Periode = NULL oder ungültiges Format („2026-13", „abc")</w:t>
      </w:r>
    </w:p>
    <w:p>
      <w:pPr>
        <w:pStyle w:val="ListParagraph"/>
        <w:numPr>
          <w:ilvl w:val="0"/>
          <w:numId w:val="2"/>
        </w:numPr>
        <w:spacing w:after="40" w:before="40"/>
      </w:pPr>
      <w:r>
        <w:rPr>
          <w:rFonts w:ascii="Calibri" w:cs="Calibri" w:eastAsia="Calibri" w:hAnsi="Calibri"/>
          <w:sz w:val="22"/>
          <w:szCs w:val="22"/>
        </w:rPr>
        <w:t xml:space="preserve">Periode noch nicht abrechenbar (Heute &lt; 10. des Folgemonats) → erwarteter Fehler 50001</w:t>
      </w:r>
    </w:p>
    <w:p>
      <w:pPr>
        <w:pStyle w:val="ListParagraph"/>
        <w:numPr>
          <w:ilvl w:val="0"/>
          <w:numId w:val="2"/>
        </w:numPr>
        <w:spacing w:after="40" w:before="40"/>
      </w:pPr>
      <w:r>
        <w:rPr>
          <w:rFonts w:ascii="Calibri" w:cs="Calibri" w:eastAsia="Calibri" w:hAnsi="Calibri"/>
          <w:sz w:val="22"/>
          <w:szCs w:val="22"/>
        </w:rPr>
        <w:t xml:space="preserve">Periode bereits APPROVED/PAID → erwarteter Fehler 50002</w:t>
      </w:r>
    </w:p>
    <w:p>
      <w:pPr>
        <w:pStyle w:val="ListParagraph"/>
        <w:numPr>
          <w:ilvl w:val="0"/>
          <w:numId w:val="2"/>
        </w:numPr>
        <w:spacing w:after="40" w:before="40"/>
      </w:pPr>
      <w:r>
        <w:rPr>
          <w:rFonts w:ascii="Calibri" w:cs="Calibri" w:eastAsia="Calibri" w:hAnsi="Calibri"/>
          <w:sz w:val="22"/>
          <w:szCs w:val="22"/>
        </w:rPr>
        <w:t xml:space="preserve">Keine relevanten Belege im Monat → Kopf mit Summen 0, VAT_TYPE = NEUTRAL, keine Items</w:t>
      </w:r>
    </w:p>
    <w:p>
      <w:pPr>
        <w:pStyle w:val="ListParagraph"/>
        <w:numPr>
          <w:ilvl w:val="0"/>
          <w:numId w:val="2"/>
        </w:numPr>
        <w:spacing w:after="40" w:before="40"/>
      </w:pPr>
      <w:r>
        <w:rPr>
          <w:rFonts w:ascii="Calibri" w:cs="Calibri" w:eastAsia="Calibri" w:hAnsi="Calibri"/>
          <w:sz w:val="22"/>
          <w:szCs w:val="22"/>
        </w:rPr>
        <w:t xml:space="preserve">Korrekturzeile ohne ORIGINAL_INVOICE_ID, wenn diese laut Schnittstelle gepflegt sein müsste (offen abhängig von Gruppe 7/8 — siehe Kap. 9)</w:t>
      </w:r>
    </w:p>
    <w:p>
      <w:pPr>
        <w:pStyle w:val="ListParagraph"/>
        <w:numPr>
          <w:ilvl w:val="0"/>
          <w:numId w:val="2"/>
        </w:numPr>
        <w:spacing w:after="40" w:before="40"/>
      </w:pPr>
      <w:r>
        <w:rPr>
          <w:rFonts w:ascii="Calibri" w:cs="Calibri" w:eastAsia="Calibri" w:hAnsi="Calibri"/>
          <w:sz w:val="22"/>
          <w:szCs w:val="22"/>
        </w:rPr>
        <w:t xml:space="preserve">Sehr große Beleganzahl je Periode (&gt; 10 000 Items); Procedure muss bestehen, Indizes greifen</w:t>
      </w:r>
    </w:p>
    <w:p>
      <w:pPr>
        <w:pStyle w:val="ListParagraph"/>
        <w:numPr>
          <w:ilvl w:val="0"/>
          <w:numId w:val="2"/>
        </w:numPr>
        <w:spacing w:after="40" w:before="40"/>
      </w:pPr>
      <w:r>
        <w:rPr>
          <w:rFonts w:ascii="Calibri" w:cs="Calibri" w:eastAsia="Calibri" w:hAnsi="Calibri"/>
          <w:sz w:val="22"/>
          <w:szCs w:val="22"/>
        </w:rPr>
        <w:t xml:space="preserve">sp_approve_vat_statement auf Status PAID → Fehler 50010</w:t>
      </w:r>
    </w:p>
    <w:p>
      <w:pPr>
        <w:pStyle w:val="ListParagraph"/>
        <w:numPr>
          <w:ilvl w:val="0"/>
          <w:numId w:val="2"/>
        </w:numPr>
        <w:spacing w:after="40" w:before="40"/>
      </w:pPr>
      <w:r>
        <w:rPr>
          <w:rFonts w:ascii="Calibri" w:cs="Calibri" w:eastAsia="Calibri" w:hAnsi="Calibri"/>
          <w:sz w:val="22"/>
          <w:szCs w:val="22"/>
        </w:rPr>
        <w:t xml:space="preserve">User ohne ausreichendes SECURITY_LEVEL ruft Status-Procedure → eindeutiger Fehler</w:t>
      </w:r>
    </w:p>
    <w:p>
      <w:pPr>
        <w:pStyle w:val="Heading2"/>
        <w:spacing w:after="120" w:before="240"/>
      </w:pPr>
      <w:r>
        <w:rPr>
          <w:rFonts w:ascii="Calibri" w:cs="Calibri" w:eastAsia="Calibri" w:hAnsi="Calibri"/>
          <w:b/>
          <w:bCs/>
          <w:sz w:val="26"/>
          <w:szCs w:val="26"/>
        </w:rPr>
        <w:t xml:space="preserve">3.4 Regressionstests</w:t>
      </w:r>
    </w:p>
    <w:p>
      <w:pPr>
        <w:spacing w:after="80" w:before="80"/>
      </w:pPr>
      <w:r>
        <w:rPr>
          <w:rFonts w:ascii="Calibri" w:cs="Calibri" w:eastAsia="Calibri" w:hAnsi="Calibri"/>
          <w:b/>
          <w:bCs/>
          <w:sz w:val="22"/>
          <w:szCs w:val="22"/>
        </w:rPr>
        <w:t xml:space="preserve">Ziel: </w:t>
      </w:r>
      <w:r>
        <w:rPr>
          <w:rFonts w:ascii="Calibri" w:cs="Calibri" w:eastAsia="Calibri" w:hAnsi="Calibri"/>
          <w:sz w:val="22"/>
          <w:szCs w:val="22"/>
        </w:rPr>
        <w:t xml:space="preserve">Absicherung bei Änderungen am Code, an Schnittstellen-Views oder vorgelagerten Modulen. Stabilitätsanker ist die View-Schicht: Wenn Partnergruppen ihre Quellstrukturen ändern, soll primär die jeweilige V_LIST_*-View angepasst werden — Stored Procedures, Service-Schicht und Tests bleiben dadurch möglichst stabil.</w:t>
      </w:r>
    </w:p>
    <w:p>
      <w:pPr>
        <w:spacing w:after="80" w:before="80"/>
      </w:pPr>
      <w:r>
        <w:rPr>
          <w:rFonts w:ascii="Calibri" w:cs="Calibri" w:eastAsia="Calibri" w:hAnsi="Calibri"/>
          <w:b/>
          <w:bCs/>
          <w:sz w:val="22"/>
          <w:szCs w:val="22"/>
        </w:rPr>
        <w:t xml:space="preserve">Beispiele:</w:t>
      </w:r>
    </w:p>
    <w:p>
      <w:pPr>
        <w:pStyle w:val="ListParagraph"/>
        <w:numPr>
          <w:ilvl w:val="0"/>
          <w:numId w:val="2"/>
        </w:numPr>
        <w:spacing w:after="40" w:before="40"/>
      </w:pPr>
      <w:r>
        <w:rPr>
          <w:rFonts w:ascii="Calibri" w:cs="Calibri" w:eastAsia="Calibri" w:hAnsi="Calibri"/>
          <w:sz w:val="22"/>
          <w:szCs w:val="22"/>
        </w:rPr>
        <w:t xml:space="preserve">Spaltenänderung in T_INVOICE_ITEM oder T_MATERIAL: V_LIST_OUTPUT_VAT wird angepasst, alle sp_*-Tests laufen unverändert grün</w:t>
      </w:r>
    </w:p>
    <w:p>
      <w:pPr>
        <w:pStyle w:val="ListParagraph"/>
        <w:numPr>
          <w:ilvl w:val="0"/>
          <w:numId w:val="2"/>
        </w:numPr>
        <w:spacing w:after="40" w:before="40"/>
      </w:pPr>
      <w:r>
        <w:rPr>
          <w:rFonts w:ascii="Calibri" w:cs="Calibri" w:eastAsia="Calibri" w:hAnsi="Calibri"/>
          <w:sz w:val="22"/>
          <w:szCs w:val="22"/>
        </w:rPr>
        <w:t xml:space="preserve">Spätere Einführung einer fertigen Kopf-TAX_AMOUNT-Spalte durch Gruppe 7: View schaltet auf direkten Konsum um; Procedure und Tests bleiben unverändert</w:t>
      </w:r>
    </w:p>
    <w:p>
      <w:pPr>
        <w:pStyle w:val="ListParagraph"/>
        <w:numPr>
          <w:ilvl w:val="0"/>
          <w:numId w:val="2"/>
        </w:numPr>
        <w:spacing w:after="40" w:before="40"/>
      </w:pPr>
      <w:r>
        <w:rPr>
          <w:rFonts w:ascii="Calibri" w:cs="Calibri" w:eastAsia="Calibri" w:hAnsi="Calibri"/>
          <w:sz w:val="22"/>
          <w:szCs w:val="22"/>
        </w:rPr>
        <w:t xml:space="preserve">Nach Index-/Constraint-Änderungen bleiben Saldenergebnisse identisch</w:t>
      </w:r>
    </w:p>
    <w:p>
      <w:pPr>
        <w:pStyle w:val="ListParagraph"/>
        <w:numPr>
          <w:ilvl w:val="0"/>
          <w:numId w:val="2"/>
        </w:numPr>
        <w:spacing w:after="40" w:before="40"/>
      </w:pPr>
      <w:r>
        <w:rPr>
          <w:rFonts w:ascii="Calibri" w:cs="Calibri" w:eastAsia="Calibri" w:hAnsi="Calibri"/>
          <w:sz w:val="22"/>
          <w:szCs w:val="22"/>
        </w:rPr>
        <w:t xml:space="preserve">Automatisierte Wiederholung der gesamten SQL-Test-Suite vor jedem Deploy auf ERPDEV26S</w:t>
      </w:r>
    </w:p>
    <w:p>
      <w:pPr>
        <w:pStyle w:val="Heading2"/>
        <w:spacing w:after="120" w:before="240"/>
      </w:pPr>
      <w:r>
        <w:rPr>
          <w:rFonts w:ascii="Calibri" w:cs="Calibri" w:eastAsia="Calibri" w:hAnsi="Calibri"/>
          <w:b/>
          <w:bCs/>
          <w:sz w:val="26"/>
          <w:szCs w:val="26"/>
        </w:rPr>
        <w:t xml:space="preserve">3.5 Rollen- und Berechtigungstests</w:t>
      </w:r>
    </w:p>
    <w:p>
      <w:pPr>
        <w:spacing w:after="80" w:before="80"/>
      </w:pPr>
      <w:r>
        <w:rPr>
          <w:rFonts w:ascii="Calibri" w:cs="Calibri" w:eastAsia="Calibri" w:hAnsi="Calibri"/>
          <w:b/>
          <w:bCs/>
          <w:sz w:val="22"/>
          <w:szCs w:val="22"/>
        </w:rPr>
        <w:t xml:space="preserve">Ziel: </w:t>
      </w:r>
      <w:r>
        <w:rPr>
          <w:rFonts w:ascii="Calibri" w:cs="Calibri" w:eastAsia="Calibri" w:hAnsi="Calibri"/>
          <w:sz w:val="22"/>
          <w:szCs w:val="22"/>
        </w:rPr>
        <w:t xml:space="preserve">Sicherstellen, dass nur Benutzer mit dem in T_CODE_NEXT.SECURITY_LEVEL hinterlegten Level einen Statuswechsel auslösen können. Geprüft per fn_get_user_security_level innerhalb der Status-Procedures.</w:t>
      </w:r>
    </w:p>
    <w:p>
      <w:pPr>
        <w:spacing w:after="80" w:before="80"/>
      </w:pPr>
      <w:r>
        <w:rPr>
          <w:rFonts w:ascii="Calibri" w:cs="Calibri" w:eastAsia="Calibri" w:hAnsi="Calibri"/>
          <w:b/>
          <w:bCs/>
          <w:sz w:val="22"/>
          <w:szCs w:val="22"/>
        </w:rPr>
        <w:t xml:space="preserve">Beispiele:</w:t>
      </w:r>
    </w:p>
    <w:p>
      <w:pPr>
        <w:pStyle w:val="ListParagraph"/>
        <w:numPr>
          <w:ilvl w:val="0"/>
          <w:numId w:val="2"/>
        </w:numPr>
        <w:spacing w:after="40" w:before="40"/>
      </w:pPr>
      <w:r>
        <w:rPr>
          <w:rFonts w:ascii="Calibri" w:cs="Calibri" w:eastAsia="Calibri" w:hAnsi="Calibri"/>
          <w:sz w:val="22"/>
          <w:szCs w:val="22"/>
        </w:rPr>
        <w:t xml:space="preserve">Sachbearbeiter (Level 1): darf sp_create_vat_statement, darf nicht sp_approve / sp_pay / sp_reject</w:t>
      </w:r>
    </w:p>
    <w:p>
      <w:pPr>
        <w:pStyle w:val="ListParagraph"/>
        <w:numPr>
          <w:ilvl w:val="0"/>
          <w:numId w:val="2"/>
        </w:numPr>
        <w:spacing w:after="40" w:before="40"/>
      </w:pPr>
      <w:r>
        <w:rPr>
          <w:rFonts w:ascii="Calibri" w:cs="Calibri" w:eastAsia="Calibri" w:hAnsi="Calibri"/>
          <w:sz w:val="22"/>
          <w:szCs w:val="22"/>
        </w:rPr>
        <w:t xml:space="preserve">CFO (Level 3): darf sp_approve_vat_statement und sp_reject_vat_statement, darf nicht sp_pay_vat_statement</w:t>
      </w:r>
    </w:p>
    <w:p>
      <w:pPr>
        <w:pStyle w:val="ListParagraph"/>
        <w:numPr>
          <w:ilvl w:val="0"/>
          <w:numId w:val="2"/>
        </w:numPr>
        <w:spacing w:after="40" w:before="40"/>
      </w:pPr>
      <w:r>
        <w:rPr>
          <w:rFonts w:ascii="Calibri" w:cs="Calibri" w:eastAsia="Calibri" w:hAnsi="Calibri"/>
          <w:sz w:val="22"/>
          <w:szCs w:val="22"/>
        </w:rPr>
        <w:t xml:space="preserve">Leitung FiBu (Level 2): darf sp_pay_vat_statement, darf nicht sp_approve_vat_statement</w:t>
      </w:r>
    </w:p>
    <w:p>
      <w:pPr>
        <w:pStyle w:val="ListParagraph"/>
        <w:numPr>
          <w:ilvl w:val="0"/>
          <w:numId w:val="2"/>
        </w:numPr>
        <w:spacing w:after="40" w:before="40"/>
      </w:pPr>
      <w:r>
        <w:rPr>
          <w:rFonts w:ascii="Calibri" w:cs="Calibri" w:eastAsia="Calibri" w:hAnsi="Calibri"/>
          <w:sz w:val="22"/>
          <w:szCs w:val="22"/>
        </w:rPr>
        <w:t xml:space="preserve">Unbekannter oder gesperrter User: jede Status-Procedure liefert eindeutigen Fehler</w:t>
      </w:r>
    </w:p>
    <w:p>
      <w:pPr>
        <w:spacing w:after="80" w:before="80"/>
      </w:pPr>
      <w:r>
        <w:rPr>
          <w:rFonts w:ascii="Calibri" w:cs="Calibri" w:eastAsia="Calibri" w:hAnsi="Calibri"/>
          <w:sz w:val="22"/>
          <w:szCs w:val="22"/>
        </w:rPr>
        <w:t xml:space="preserve">Hinweis: Die Streamlit-UI bietet zwar einen Login-Hack mit Userauswahl, ersetzt aber keine echte Authentifizierung. Die fachliche Rollensicherung erfolgt in der DB-Schicht.</w:t>
      </w:r>
    </w:p>
    <w:p>
      <w:pPr>
        <w:pStyle w:val="Heading2"/>
        <w:spacing w:after="120" w:before="240"/>
      </w:pPr>
      <w:r>
        <w:rPr>
          <w:rFonts w:ascii="Calibri" w:cs="Calibri" w:eastAsia="Calibri" w:hAnsi="Calibri"/>
          <w:b/>
          <w:bCs/>
          <w:sz w:val="26"/>
          <w:szCs w:val="26"/>
        </w:rPr>
        <w:t xml:space="preserve">3.6 Performance- und Lasttests</w:t>
      </w:r>
    </w:p>
    <w:p>
      <w:pPr>
        <w:spacing w:after="80" w:before="80"/>
      </w:pPr>
      <w:r>
        <w:rPr>
          <w:rFonts w:ascii="Calibri" w:cs="Calibri" w:eastAsia="Calibri" w:hAnsi="Calibri"/>
          <w:b/>
          <w:bCs/>
          <w:sz w:val="22"/>
          <w:szCs w:val="22"/>
        </w:rPr>
        <w:t xml:space="preserve">Ziel: </w:t>
      </w:r>
      <w:r>
        <w:rPr>
          <w:rFonts w:ascii="Calibri" w:cs="Calibri" w:eastAsia="Calibri" w:hAnsi="Calibri"/>
          <w:sz w:val="22"/>
          <w:szCs w:val="22"/>
        </w:rPr>
        <w:t xml:space="preserve">Sicherstellung praktikabler Laufzeiten auch bei großen Belegmengen je Periode.</w:t>
      </w:r>
    </w:p>
    <w:p>
      <w:pPr>
        <w:spacing w:after="80" w:before="80"/>
      </w:pPr>
      <w:r>
        <w:rPr>
          <w:rFonts w:ascii="Calibri" w:cs="Calibri" w:eastAsia="Calibri" w:hAnsi="Calibri"/>
          <w:b/>
          <w:bCs/>
          <w:sz w:val="22"/>
          <w:szCs w:val="22"/>
        </w:rPr>
        <w:t xml:space="preserve">Beispiele:</w:t>
      </w:r>
    </w:p>
    <w:p>
      <w:pPr>
        <w:pStyle w:val="ListParagraph"/>
        <w:numPr>
          <w:ilvl w:val="0"/>
          <w:numId w:val="2"/>
        </w:numPr>
        <w:spacing w:after="40" w:before="40"/>
      </w:pPr>
      <w:r>
        <w:rPr>
          <w:rFonts w:ascii="Calibri" w:cs="Calibri" w:eastAsia="Calibri" w:hAnsi="Calibri"/>
          <w:sz w:val="22"/>
          <w:szCs w:val="22"/>
        </w:rPr>
        <w:t xml:space="preserve">sp_create_vat_statement mit etwa 10 000 Items je Periode — Laufzeit messen und Execution Plan prüfen</w:t>
      </w:r>
    </w:p>
    <w:p>
      <w:pPr>
        <w:pStyle w:val="ListParagraph"/>
        <w:numPr>
          <w:ilvl w:val="0"/>
          <w:numId w:val="2"/>
        </w:numPr>
        <w:spacing w:after="40" w:before="40"/>
      </w:pPr>
      <w:r>
        <w:rPr>
          <w:rFonts w:ascii="Calibri" w:cs="Calibri" w:eastAsia="Calibri" w:hAnsi="Calibri"/>
          <w:sz w:val="22"/>
          <w:szCs w:val="22"/>
        </w:rPr>
        <w:t xml:space="preserve">Wiederholtes DRAFT-Reset auf derselben Periode — keine Datendrift, kein Speicherwachstum</w:t>
      </w:r>
    </w:p>
    <w:p>
      <w:pPr>
        <w:pStyle w:val="ListParagraph"/>
        <w:numPr>
          <w:ilvl w:val="0"/>
          <w:numId w:val="2"/>
        </w:numPr>
        <w:spacing w:after="40" w:before="40"/>
      </w:pPr>
      <w:r>
        <w:rPr>
          <w:rFonts w:ascii="Calibri" w:cs="Calibri" w:eastAsia="Calibri" w:hAnsi="Calibri"/>
          <w:sz w:val="22"/>
          <w:szCs w:val="22"/>
        </w:rPr>
        <w:t xml:space="preserve">Index-Nutzung prüfen: IX_VAT_STATEMENT_PERIOD, IX_VAT_ITEM_STATEMENT</w:t>
      </w:r>
    </w:p>
    <w:p>
      <w:pPr>
        <w:spacing w:after="80" w:before="80"/>
      </w:pPr>
      <w:r>
        <w:rPr>
          <w:rFonts w:ascii="Calibri" w:cs="Calibri" w:eastAsia="Calibri" w:hAnsi="Calibri"/>
          <w:b/>
          <w:bCs/>
          <w:sz w:val="22"/>
          <w:szCs w:val="22"/>
        </w:rPr>
        <w:t xml:space="preserve">Zielkennzahl: </w:t>
      </w:r>
      <w:r>
        <w:rPr>
          <w:rFonts w:ascii="Calibri" w:cs="Calibri" w:eastAsia="Calibri" w:hAnsi="Calibri"/>
          <w:sz w:val="22"/>
          <w:szCs w:val="22"/>
        </w:rPr>
        <w:t xml:space="preserve">sp_create_vat_statement unter 2 Sekunden für 1 000 Items, unter 10 Sekunden für 10 000 Items.</w:t>
      </w:r>
    </w:p>
    <w:p>
      <w:pPr>
        <w:pStyle w:val="Heading2"/>
        <w:spacing w:after="120" w:before="240"/>
      </w:pPr>
      <w:r>
        <w:rPr>
          <w:rFonts w:ascii="Calibri" w:cs="Calibri" w:eastAsia="Calibri" w:hAnsi="Calibri"/>
          <w:b/>
          <w:bCs/>
          <w:sz w:val="26"/>
          <w:szCs w:val="26"/>
        </w:rPr>
        <w:t xml:space="preserve">3.7 Frontend-Akzeptanztests (UAT)</w:t>
      </w:r>
    </w:p>
    <w:p>
      <w:pPr>
        <w:spacing w:after="80" w:before="80"/>
      </w:pPr>
      <w:r>
        <w:rPr>
          <w:rFonts w:ascii="Calibri" w:cs="Calibri" w:eastAsia="Calibri" w:hAnsi="Calibri"/>
          <w:sz w:val="22"/>
          <w:szCs w:val="22"/>
        </w:rPr>
        <w:t xml:space="preserve">Manueller Durchlauf der drei Streamlit-Seiten gegen die Sandbox-DB (APP_DB_PROFILE=sandbox):</w:t>
      </w:r>
    </w:p>
    <w:p>
      <w:pPr>
        <w:pStyle w:val="ListParagraph"/>
        <w:numPr>
          <w:ilvl w:val="0"/>
          <w:numId w:val="2"/>
        </w:numPr>
        <w:spacing w:after="40" w:before="40"/>
      </w:pPr>
      <w:r>
        <w:rPr>
          <w:rFonts w:ascii="Calibri" w:cs="Calibri" w:eastAsia="Calibri" w:hAnsi="Calibri"/>
          <w:sz w:val="22"/>
          <w:szCs w:val="22"/>
        </w:rPr>
        <w:t xml:space="preserve">Übersicht zeigt alle bestehenden Abrechnungen mit Status, Periode, Zahllast/Überhang</w:t>
      </w:r>
    </w:p>
    <w:p>
      <w:pPr>
        <w:pStyle w:val="ListParagraph"/>
        <w:numPr>
          <w:ilvl w:val="0"/>
          <w:numId w:val="2"/>
        </w:numPr>
        <w:spacing w:after="40" w:before="40"/>
      </w:pPr>
      <w:r>
        <w:rPr>
          <w:rFonts w:ascii="Calibri" w:cs="Calibri" w:eastAsia="Calibri" w:hAnsi="Calibri"/>
          <w:sz w:val="22"/>
          <w:szCs w:val="22"/>
        </w:rPr>
        <w:t xml:space="preserve">Neue Abrechnung: Periodenauswahl, Anlegen, Rückmeldung bei Fehler aus sp_create_vat_statement</w:t>
      </w:r>
    </w:p>
    <w:p>
      <w:pPr>
        <w:pStyle w:val="ListParagraph"/>
        <w:numPr>
          <w:ilvl w:val="0"/>
          <w:numId w:val="2"/>
        </w:numPr>
        <w:spacing w:after="40" w:before="40"/>
      </w:pPr>
      <w:r>
        <w:rPr>
          <w:rFonts w:ascii="Calibri" w:cs="Calibri" w:eastAsia="Calibri" w:hAnsi="Calibri"/>
          <w:sz w:val="22"/>
          <w:szCs w:val="22"/>
        </w:rPr>
        <w:t xml:space="preserve">Detail: Items vollständig, Statuswechsel-Buttons gemäß Rolle aktiv/ausgegraut, Audit-Spuren sichtbar</w:t>
      </w:r>
    </w:p>
    <w:p>
      <w:pPr>
        <w:pStyle w:val="Heading1"/>
        <w:spacing w:after="160" w:before="360"/>
      </w:pPr>
      <w:r>
        <w:rPr>
          <w:rFonts w:ascii="Calibri" w:cs="Calibri" w:eastAsia="Calibri" w:hAnsi="Calibri"/>
          <w:b/>
          <w:bCs/>
          <w:sz w:val="32"/>
          <w:szCs w:val="32"/>
        </w:rPr>
        <w:t xml:space="preserve">4. Testdatenkonzept</w:t>
      </w:r>
    </w:p>
    <w:p>
      <w:pPr>
        <w:pStyle w:val="Heading2"/>
        <w:spacing w:after="120" w:before="240"/>
      </w:pPr>
      <w:r>
        <w:rPr>
          <w:rFonts w:ascii="Calibri" w:cs="Calibri" w:eastAsia="Calibri" w:hAnsi="Calibri"/>
          <w:b/>
          <w:bCs/>
          <w:sz w:val="26"/>
          <w:szCs w:val="26"/>
        </w:rPr>
        <w:t xml:space="preserve">4.1 Testdatenarten</w:t>
      </w:r>
    </w:p>
    <w:p>
      <w:pPr>
        <w:pStyle w:val="ListParagraph"/>
        <w:numPr>
          <w:ilvl w:val="0"/>
          <w:numId w:val="2"/>
        </w:numPr>
        <w:spacing w:after="40" w:before="40"/>
      </w:pPr>
      <w:r>
        <w:rPr>
          <w:rFonts w:ascii="Calibri" w:cs="Calibri" w:eastAsia="Calibri" w:hAnsi="Calibri"/>
          <w:sz w:val="22"/>
          <w:szCs w:val="22"/>
        </w:rPr>
        <w:t xml:space="preserve">Standardperiode mit gemischten Ein- und Ausgangsrechnungen (Zahllast-Fall)</w:t>
      </w:r>
    </w:p>
    <w:p>
      <w:pPr>
        <w:pStyle w:val="ListParagraph"/>
        <w:numPr>
          <w:ilvl w:val="0"/>
          <w:numId w:val="2"/>
        </w:numPr>
        <w:spacing w:after="40" w:before="40"/>
      </w:pPr>
      <w:r>
        <w:rPr>
          <w:rFonts w:ascii="Calibri" w:cs="Calibri" w:eastAsia="Calibri" w:hAnsi="Calibri"/>
          <w:sz w:val="22"/>
          <w:szCs w:val="22"/>
        </w:rPr>
        <w:t xml:space="preserve">Periode mit überwiegend Vorsteuer (Überhang-Fall)</w:t>
      </w:r>
    </w:p>
    <w:p>
      <w:pPr>
        <w:pStyle w:val="ListParagraph"/>
        <w:numPr>
          <w:ilvl w:val="0"/>
          <w:numId w:val="2"/>
        </w:numPr>
        <w:spacing w:after="40" w:before="40"/>
      </w:pPr>
      <w:r>
        <w:rPr>
          <w:rFonts w:ascii="Calibri" w:cs="Calibri" w:eastAsia="Calibri" w:hAnsi="Calibri"/>
          <w:sz w:val="22"/>
          <w:szCs w:val="22"/>
        </w:rPr>
        <w:t xml:space="preserve">Periode mit ausgeglichenen Summen (Neutral-Fall)</w:t>
      </w:r>
    </w:p>
    <w:p>
      <w:pPr>
        <w:pStyle w:val="ListParagraph"/>
        <w:numPr>
          <w:ilvl w:val="0"/>
          <w:numId w:val="2"/>
        </w:numPr>
        <w:spacing w:after="40" w:before="40"/>
      </w:pPr>
      <w:r>
        <w:rPr>
          <w:rFonts w:ascii="Calibri" w:cs="Calibri" w:eastAsia="Calibri" w:hAnsi="Calibri"/>
          <w:sz w:val="22"/>
          <w:szCs w:val="22"/>
        </w:rPr>
        <w:t xml:space="preserve">Leere Periode ohne relevante Belege</w:t>
      </w:r>
    </w:p>
    <w:p>
      <w:pPr>
        <w:pStyle w:val="ListParagraph"/>
        <w:numPr>
          <w:ilvl w:val="0"/>
          <w:numId w:val="2"/>
        </w:numPr>
        <w:spacing w:after="40" w:before="40"/>
      </w:pPr>
      <w:r>
        <w:rPr>
          <w:rFonts w:ascii="Calibri" w:cs="Calibri" w:eastAsia="Calibri" w:hAnsi="Calibri"/>
          <w:sz w:val="22"/>
          <w:szCs w:val="22"/>
        </w:rPr>
        <w:t xml:space="preserve">Periode mit gepflegter T_PAYMENT_RECEIPT-Skonto-Spalte (Korrekturzeile via View)</w:t>
      </w:r>
    </w:p>
    <w:p>
      <w:pPr>
        <w:pStyle w:val="ListParagraph"/>
        <w:numPr>
          <w:ilvl w:val="0"/>
          <w:numId w:val="2"/>
        </w:numPr>
        <w:spacing w:after="40" w:before="40"/>
      </w:pPr>
      <w:r>
        <w:rPr>
          <w:rFonts w:ascii="Calibri" w:cs="Calibri" w:eastAsia="Calibri" w:hAnsi="Calibri"/>
          <w:sz w:val="22"/>
          <w:szCs w:val="22"/>
        </w:rPr>
        <w:t xml:space="preserve">Späte Korrektur, deren SOURCE_INVOICE_DATE in der nächsten offenen Periode liegt</w:t>
      </w:r>
    </w:p>
    <w:p>
      <w:pPr>
        <w:pStyle w:val="ListParagraph"/>
        <w:numPr>
          <w:ilvl w:val="0"/>
          <w:numId w:val="2"/>
        </w:numPr>
        <w:spacing w:after="40" w:before="40"/>
      </w:pPr>
      <w:r>
        <w:rPr>
          <w:rFonts w:ascii="Calibri" w:cs="Calibri" w:eastAsia="Calibri" w:hAnsi="Calibri"/>
          <w:sz w:val="22"/>
          <w:szCs w:val="22"/>
        </w:rPr>
        <w:t xml:space="preserve">Großmengen-Periode (≥ 10 000 Items) für Performance-Tests</w:t>
      </w:r>
    </w:p>
    <w:p>
      <w:pPr>
        <w:pStyle w:val="Heading2"/>
        <w:spacing w:after="120" w:before="240"/>
      </w:pPr>
      <w:r>
        <w:rPr>
          <w:rFonts w:ascii="Calibri" w:cs="Calibri" w:eastAsia="Calibri" w:hAnsi="Calibri"/>
          <w:b/>
          <w:bCs/>
          <w:sz w:val="26"/>
          <w:szCs w:val="26"/>
        </w:rPr>
        <w:t xml:space="preserve">4.2 Datenquelle</w:t>
      </w:r>
    </w:p>
    <w:p>
      <w:pPr>
        <w:spacing w:after="80" w:before="80"/>
      </w:pPr>
      <w:r>
        <w:rPr>
          <w:rFonts w:ascii="Calibri" w:cs="Calibri" w:eastAsia="Calibri" w:hAnsi="Calibri"/>
          <w:sz w:val="22"/>
          <w:szCs w:val="22"/>
        </w:rPr>
        <w:t xml:space="preserve">Primär: Bestandsdaten aus der Adventure-Bike-DEV-DB (ERPDEV26S) für Integrationstests. Sandbox (s26s5xx_DATAMART): Seed-Skripte unter sql/99_seed/. Mit PR #21 kommt das initiale Demo-Seed-Skript sql/99_seed/001_demo_vat_workflow.sql, das alle Hauptfälle abdeckt.</w:t>
      </w:r>
    </w:p>
    <w:p>
      <w:pPr>
        <w:pStyle w:val="Heading2"/>
        <w:spacing w:after="120" w:before="240"/>
      </w:pPr>
      <w:r>
        <w:rPr>
          <w:rFonts w:ascii="Calibri" w:cs="Calibri" w:eastAsia="Calibri" w:hAnsi="Calibri"/>
          <w:b/>
          <w:bCs/>
          <w:sz w:val="26"/>
          <w:szCs w:val="26"/>
        </w:rPr>
        <w:t xml:space="preserve">4.3 Datenhygiene</w:t>
      </w:r>
    </w:p>
    <w:p>
      <w:pPr>
        <w:pStyle w:val="ListParagraph"/>
        <w:numPr>
          <w:ilvl w:val="0"/>
          <w:numId w:val="2"/>
        </w:numPr>
        <w:spacing w:after="40" w:before="40"/>
      </w:pPr>
      <w:r>
        <w:rPr>
          <w:rFonts w:ascii="Calibri" w:cs="Calibri" w:eastAsia="Calibri" w:hAnsi="Calibri"/>
          <w:sz w:val="22"/>
          <w:szCs w:val="22"/>
        </w:rPr>
        <w:t xml:space="preserve">Keine personenbezogenen Echtdaten außerhalb der HdM-Infrastruktur</w:t>
      </w:r>
    </w:p>
    <w:p>
      <w:pPr>
        <w:pStyle w:val="ListParagraph"/>
        <w:numPr>
          <w:ilvl w:val="0"/>
          <w:numId w:val="2"/>
        </w:numPr>
        <w:spacing w:after="40" w:before="40"/>
      </w:pPr>
      <w:r>
        <w:rPr>
          <w:rFonts w:ascii="Calibri" w:cs="Calibri" w:eastAsia="Calibri" w:hAnsi="Calibri"/>
          <w:sz w:val="22"/>
          <w:szCs w:val="22"/>
        </w:rPr>
        <w:t xml:space="preserve">.env mit DB-Credentials wird nicht versioniert (.gitignore)</w:t>
      </w:r>
    </w:p>
    <w:p>
      <w:pPr>
        <w:pStyle w:val="ListParagraph"/>
        <w:numPr>
          <w:ilvl w:val="0"/>
          <w:numId w:val="2"/>
        </w:numPr>
        <w:spacing w:after="40" w:before="40"/>
      </w:pPr>
      <w:r>
        <w:rPr>
          <w:rFonts w:ascii="Calibri" w:cs="Calibri" w:eastAsia="Calibri" w:hAnsi="Calibri"/>
          <w:sz w:val="22"/>
          <w:szCs w:val="22"/>
        </w:rPr>
        <w:t xml:space="preserve">DEV-Analyse nur lesend; eigene Testdaten ausschließlich in der Sandbox</w:t>
      </w:r>
    </w:p>
    <w:p>
      <w:pPr>
        <w:pStyle w:val="Heading1"/>
        <w:spacing w:after="160" w:before="360"/>
      </w:pPr>
      <w:r>
        <w:rPr>
          <w:rFonts w:ascii="Calibri" w:cs="Calibri" w:eastAsia="Calibri" w:hAnsi="Calibri"/>
          <w:b/>
          <w:bCs/>
          <w:sz w:val="32"/>
          <w:szCs w:val="32"/>
        </w:rPr>
        <w:t xml:space="preserve">5. Testumgebung</w:t>
      </w:r>
    </w:p>
    <w:p>
      <w:pPr>
        <w:spacing w:after="80" w:before="80"/>
      </w:pPr>
      <w:r>
        <w:rPr>
          <w:rFonts w:ascii="Calibri" w:cs="Calibri" w:eastAsia="Calibri" w:hAnsi="Calibri"/>
          <w:sz w:val="22"/>
          <w:szCs w:val="22"/>
        </w:rPr>
        <w:t xml:space="preserve">Das Modul wird auf zwei Umgebungen entwickelt und getestet. DEV ist führender Integrationsstand — die Sandbox wird auf die DEV-Zielstruktur gebracht, nicht umgekehrt.</w:t>
      </w:r>
    </w:p>
    <w:p>
      <w:pPr>
        <w:pStyle w:val="Heading2"/>
        <w:spacing w:after="120" w:before="240"/>
      </w:pPr>
      <w:r>
        <w:rPr>
          <w:rFonts w:ascii="Calibri" w:cs="Calibri" w:eastAsia="Calibri" w:hAnsi="Calibri"/>
          <w:b/>
          <w:bCs/>
          <w:sz w:val="26"/>
          <w:szCs w:val="26"/>
        </w:rPr>
        <w:t xml:space="preserve">5.1 Datenbanken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Umgebung</w:t>
            </w:r>
          </w:p>
        </w:tc>
        <w:tc>
          <w:tcPr>
            <w:tcW w:type="dxa" w:w="5226"/>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Rolle</w:t>
            </w:r>
          </w:p>
        </w:tc>
        <w:tc>
          <w:tcPr>
            <w:tcW w:type="dxa" w:w="2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App-Profil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Sandbox s26s5xx_DATAMART</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Lokale Entwicklung, Unit-Tests, manuelle UI-Tests gegen Seed-Daten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APP_DB_PROFILE=sandbox</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DEV ERPDEV26S</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Gemeinsamer Integrationsstand mit anderen Gruppen; Stored Functions/Procedures/Views werden hier deployt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APP_DB_PROFILE=dev</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App-User-Verbindung</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Frontend-Laufzeitprofil für Endanwender (read/write/execute) im Konzern-ERP</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APP_DB_PROFILE=app</w:t>
            </w:r>
          </w:p>
        </w:tc>
      </w:tr>
    </w:tbl>
    <w:p>
      <w:pPr>
        <w:spacing w:after="80" w:before="80"/>
      </w:pPr>
      <w:r>
        <w:rPr>
          <w:rFonts w:ascii="Calibri" w:cs="Calibri" w:eastAsia="Calibri" w:hAnsi="Calibri"/>
          <w:sz w:val="22"/>
          <w:szCs w:val="22"/>
        </w:rPr>
        <w:t xml:space="preserve">Konsequenz: Es darf keine dauerhafte Fallback-Logik im Code geben, die fehlende Sandbox-Strukturen kaschiert. Wenn die Sandbox einer DEV-Struktur hinterherhinkt, gehört die Lösung in das Setup- oder Migrationsskript.</w:t>
      </w:r>
    </w:p>
    <w:p>
      <w:pPr>
        <w:pStyle w:val="Heading2"/>
        <w:spacing w:after="120" w:before="240"/>
      </w:pPr>
      <w:r>
        <w:rPr>
          <w:rFonts w:ascii="Calibri" w:cs="Calibri" w:eastAsia="Calibri" w:hAnsi="Calibri"/>
          <w:b/>
          <w:bCs/>
          <w:sz w:val="26"/>
          <w:szCs w:val="26"/>
        </w:rPr>
        <w:t xml:space="preserve">5.2 Frontend</w:t>
      </w:r>
    </w:p>
    <w:p>
      <w:pPr>
        <w:pStyle w:val="ListParagraph"/>
        <w:numPr>
          <w:ilvl w:val="0"/>
          <w:numId w:val="2"/>
        </w:numPr>
        <w:spacing w:after="40" w:before="40"/>
      </w:pPr>
      <w:r>
        <w:rPr>
          <w:rFonts w:ascii="Calibri" w:cs="Calibri" w:eastAsia="Calibri" w:hAnsi="Calibri"/>
          <w:sz w:val="22"/>
          <w:szCs w:val="22"/>
        </w:rPr>
        <w:t xml:space="preserve">Python 3.11+, Streamlit, pyodbc, ODBC Driver 17/18 für SQL Server</w:t>
      </w:r>
    </w:p>
    <w:p>
      <w:pPr>
        <w:pStyle w:val="ListParagraph"/>
        <w:numPr>
          <w:ilvl w:val="0"/>
          <w:numId w:val="2"/>
        </w:numPr>
        <w:spacing w:after="40" w:before="40"/>
      </w:pPr>
      <w:r>
        <w:rPr>
          <w:rFonts w:ascii="Calibri" w:cs="Calibri" w:eastAsia="Calibri" w:hAnsi="Calibri"/>
          <w:sz w:val="22"/>
          <w:szCs w:val="22"/>
        </w:rPr>
        <w:t xml:space="preserve">Browser für manuelle UI-Tests</w:t>
      </w:r>
    </w:p>
    <w:p>
      <w:pPr>
        <w:pStyle w:val="Heading2"/>
        <w:spacing w:after="120" w:before="240"/>
      </w:pPr>
      <w:r>
        <w:rPr>
          <w:rFonts w:ascii="Calibri" w:cs="Calibri" w:eastAsia="Calibri" w:hAnsi="Calibri"/>
          <w:b/>
          <w:bCs/>
          <w:sz w:val="26"/>
          <w:szCs w:val="26"/>
        </w:rPr>
        <w:t xml:space="preserve">5.3 Versionierung und Deployment</w:t>
      </w:r>
    </w:p>
    <w:p>
      <w:pPr>
        <w:pStyle w:val="ListParagraph"/>
        <w:numPr>
          <w:ilvl w:val="0"/>
          <w:numId w:val="2"/>
        </w:numPr>
        <w:spacing w:after="40" w:before="40"/>
      </w:pPr>
      <w:r>
        <w:rPr>
          <w:rFonts w:ascii="Calibri" w:cs="Calibri" w:eastAsia="Calibri" w:hAnsi="Calibri"/>
          <w:sz w:val="22"/>
          <w:szCs w:val="22"/>
        </w:rPr>
        <w:t xml:space="preserve">Git-Repo der Gruppe 15 (GitHub, Team-Repo); Feature-Branches + Pull Requests + Squash-Merge</w:t>
      </w:r>
    </w:p>
    <w:p>
      <w:pPr>
        <w:pStyle w:val="ListParagraph"/>
        <w:numPr>
          <w:ilvl w:val="0"/>
          <w:numId w:val="2"/>
        </w:numPr>
        <w:spacing w:after="40" w:before="40"/>
      </w:pPr>
      <w:r>
        <w:rPr>
          <w:rFonts w:ascii="Calibri" w:cs="Calibri" w:eastAsia="Calibri" w:hAnsi="Calibri"/>
          <w:sz w:val="22"/>
          <w:szCs w:val="22"/>
        </w:rPr>
        <w:t xml:space="preserve">SQL-Skripte sind in nummerierten Ordnern (00_setup, 01_tables, 02_views, 03_stored_func, 04_stored_proc, 05_ins_upd_views, 99_seed) wiederholt deploybar</w:t>
      </w:r>
    </w:p>
    <w:p>
      <w:pPr>
        <w:pStyle w:val="ListParagraph"/>
        <w:numPr>
          <w:ilvl w:val="0"/>
          <w:numId w:val="2"/>
        </w:numPr>
        <w:spacing w:after="40" w:before="40"/>
      </w:pPr>
      <w:r>
        <w:rPr>
          <w:rFonts w:ascii="Calibri" w:cs="Calibri" w:eastAsia="Calibri" w:hAnsi="Calibri"/>
          <w:sz w:val="22"/>
          <w:szCs w:val="22"/>
        </w:rPr>
        <w:t xml:space="preserve">scripts/deploy_sandbox.py spielt alle Ordner in die Sandbox; scripts/deploy_dev.py nur Objekte in erlaubten Schemata gegen ERPDEV26S (interaktive Bestätigung)</w:t>
      </w:r>
    </w:p>
    <w:p>
      <w:pPr>
        <w:pStyle w:val="Heading1"/>
        <w:spacing w:after="160" w:before="360"/>
      </w:pPr>
      <w:r>
        <w:rPr>
          <w:rFonts w:ascii="Calibri" w:cs="Calibri" w:eastAsia="Calibri" w:hAnsi="Calibri"/>
          <w:b/>
          <w:bCs/>
          <w:sz w:val="32"/>
          <w:szCs w:val="32"/>
        </w:rPr>
        <w:t xml:space="preserve">6. Testdurchführung</w:t>
      </w:r>
    </w:p>
    <w:p>
      <w:pPr>
        <w:pStyle w:val="Heading2"/>
        <w:spacing w:after="120" w:before="240"/>
      </w:pPr>
      <w:r>
        <w:rPr>
          <w:rFonts w:ascii="Calibri" w:cs="Calibri" w:eastAsia="Calibri" w:hAnsi="Calibri"/>
          <w:b/>
          <w:bCs/>
          <w:sz w:val="26"/>
          <w:szCs w:val="26"/>
        </w:rPr>
        <w:t xml:space="preserve">6.1 Ablauf</w:t>
      </w:r>
    </w:p>
    <w:p>
      <w:pPr>
        <w:pStyle w:val="ListParagraph"/>
        <w:numPr>
          <w:ilvl w:val="0"/>
          <w:numId w:val="2"/>
        </w:numPr>
        <w:spacing w:after="40" w:before="40"/>
      </w:pPr>
      <w:r>
        <w:rPr>
          <w:rFonts w:ascii="Calibri" w:cs="Calibri" w:eastAsia="Calibri" w:hAnsi="Calibri"/>
          <w:sz w:val="22"/>
          <w:szCs w:val="22"/>
        </w:rPr>
        <w:t xml:space="preserve">Unit-Tests durch den Entwickler nach Implementierung jedes Bausteins (Sandbox)</w:t>
      </w:r>
    </w:p>
    <w:p>
      <w:pPr>
        <w:pStyle w:val="ListParagraph"/>
        <w:numPr>
          <w:ilvl w:val="0"/>
          <w:numId w:val="2"/>
        </w:numPr>
        <w:spacing w:after="40" w:before="40"/>
      </w:pPr>
      <w:r>
        <w:rPr>
          <w:rFonts w:ascii="Calibri" w:cs="Calibri" w:eastAsia="Calibri" w:hAnsi="Calibri"/>
          <w:sz w:val="22"/>
          <w:szCs w:val="22"/>
        </w:rPr>
        <w:t xml:space="preserve">Integrationstests in der Sandbox vor Deploy auf ERPDEV26S</w:t>
      </w:r>
    </w:p>
    <w:p>
      <w:pPr>
        <w:pStyle w:val="ListParagraph"/>
        <w:numPr>
          <w:ilvl w:val="0"/>
          <w:numId w:val="2"/>
        </w:numPr>
        <w:spacing w:after="40" w:before="40"/>
      </w:pPr>
      <w:r>
        <w:rPr>
          <w:rFonts w:ascii="Calibri" w:cs="Calibri" w:eastAsia="Calibri" w:hAnsi="Calibri"/>
          <w:sz w:val="22"/>
          <w:szCs w:val="22"/>
        </w:rPr>
        <w:t xml:space="preserve">Wechselseitige Integrationstests mit Nachbargruppen (4, 7, 8, 9, 10) auf ERPDEV26S</w:t>
      </w:r>
    </w:p>
    <w:p>
      <w:pPr>
        <w:pStyle w:val="ListParagraph"/>
        <w:numPr>
          <w:ilvl w:val="0"/>
          <w:numId w:val="2"/>
        </w:numPr>
        <w:spacing w:after="40" w:before="40"/>
      </w:pPr>
      <w:r>
        <w:rPr>
          <w:rFonts w:ascii="Calibri" w:cs="Calibri" w:eastAsia="Calibri" w:hAnsi="Calibri"/>
          <w:sz w:val="22"/>
          <w:szCs w:val="22"/>
        </w:rPr>
        <w:t xml:space="preserve">Fachliche Abnahme (UAT) durch das Team gegen die SPC-Kriterien</w:t>
      </w:r>
    </w:p>
    <w:p>
      <w:pPr>
        <w:pStyle w:val="ListParagraph"/>
        <w:numPr>
          <w:ilvl w:val="0"/>
          <w:numId w:val="2"/>
        </w:numPr>
        <w:spacing w:after="40" w:before="40"/>
      </w:pPr>
      <w:r>
        <w:rPr>
          <w:rFonts w:ascii="Calibri" w:cs="Calibri" w:eastAsia="Calibri" w:hAnsi="Calibri"/>
          <w:sz w:val="22"/>
          <w:szCs w:val="22"/>
        </w:rPr>
        <w:t xml:space="preserve">Regressionstest-Lauf vor der Phase-5-Präsentation</w:t>
      </w:r>
    </w:p>
    <w:p>
      <w:pPr>
        <w:pStyle w:val="Heading2"/>
        <w:spacing w:after="120" w:before="240"/>
      </w:pPr>
      <w:r>
        <w:rPr>
          <w:rFonts w:ascii="Calibri" w:cs="Calibri" w:eastAsia="Calibri" w:hAnsi="Calibri"/>
          <w:b/>
          <w:bCs/>
          <w:sz w:val="26"/>
          <w:szCs w:val="26"/>
        </w:rPr>
        <w:t xml:space="preserve">6.2 Dokumentation</w:t>
      </w:r>
    </w:p>
    <w:p>
      <w:pPr>
        <w:pStyle w:val="ListParagraph"/>
        <w:numPr>
          <w:ilvl w:val="0"/>
          <w:numId w:val="2"/>
        </w:numPr>
        <w:spacing w:after="40" w:before="40"/>
      </w:pPr>
      <w:r>
        <w:rPr>
          <w:rFonts w:ascii="Calibri" w:cs="Calibri" w:eastAsia="Calibri" w:hAnsi="Calibri"/>
          <w:sz w:val="22"/>
          <w:szCs w:val="22"/>
        </w:rPr>
        <w:t xml:space="preserve">Testfall-Katalog: tests/test_cases.md (Markdown-Tabelle, im Git pflegbar)</w:t>
      </w:r>
    </w:p>
    <w:p>
      <w:pPr>
        <w:pStyle w:val="ListParagraph"/>
        <w:numPr>
          <w:ilvl w:val="0"/>
          <w:numId w:val="2"/>
        </w:numPr>
        <w:spacing w:after="40" w:before="40"/>
      </w:pPr>
      <w:r>
        <w:rPr>
          <w:rFonts w:ascii="Calibri" w:cs="Calibri" w:eastAsia="Calibri" w:hAnsi="Calibri"/>
          <w:sz w:val="22"/>
          <w:szCs w:val="22"/>
        </w:rPr>
        <w:t xml:space="preserve">Akzeptanzkriterien: tests/abnahmekriterien.md (SPC-1 bis SPC-9)</w:t>
      </w:r>
    </w:p>
    <w:p>
      <w:pPr>
        <w:pStyle w:val="ListParagraph"/>
        <w:numPr>
          <w:ilvl w:val="0"/>
          <w:numId w:val="2"/>
        </w:numPr>
        <w:spacing w:after="40" w:before="40"/>
      </w:pPr>
      <w:r>
        <w:rPr>
          <w:rFonts w:ascii="Calibri" w:cs="Calibri" w:eastAsia="Calibri" w:hAnsi="Calibri"/>
          <w:sz w:val="22"/>
          <w:szCs w:val="22"/>
        </w:rPr>
        <w:t xml:space="preserve">Direkt ausführbare SQL-Tests: tests/sql/ mit PASS/FAIL-Output</w:t>
      </w:r>
    </w:p>
    <w:p>
      <w:pPr>
        <w:pStyle w:val="ListParagraph"/>
        <w:numPr>
          <w:ilvl w:val="0"/>
          <w:numId w:val="2"/>
        </w:numPr>
        <w:spacing w:after="40" w:before="40"/>
      </w:pPr>
      <w:r>
        <w:rPr>
          <w:rFonts w:ascii="Calibri" w:cs="Calibri" w:eastAsia="Calibri" w:hAnsi="Calibri"/>
          <w:sz w:val="22"/>
          <w:szCs w:val="22"/>
        </w:rPr>
        <w:t xml:space="preserve">Fehlerklassifizierung: kritisch / hoch / mittel / niedrig — wird im Testprotokoll vermerkt</w:t>
      </w:r>
    </w:p>
    <w:p>
      <w:pPr>
        <w:pStyle w:val="Heading2"/>
        <w:spacing w:after="120" w:before="240"/>
      </w:pPr>
      <w:r>
        <w:rPr>
          <w:rFonts w:ascii="Calibri" w:cs="Calibri" w:eastAsia="Calibri" w:hAnsi="Calibri"/>
          <w:b/>
          <w:bCs/>
          <w:sz w:val="26"/>
          <w:szCs w:val="26"/>
        </w:rPr>
        <w:t xml:space="preserve">6.3 Verantwortlichkeiten</w:t>
      </w:r>
    </w:p>
    <w:p>
      <w:pPr>
        <w:pStyle w:val="ListParagraph"/>
        <w:numPr>
          <w:ilvl w:val="0"/>
          <w:numId w:val="2"/>
        </w:numPr>
        <w:spacing w:after="40" w:before="40"/>
      </w:pPr>
      <w:r>
        <w:rPr>
          <w:rFonts w:ascii="Calibri" w:cs="Calibri" w:eastAsia="Calibri" w:hAnsi="Calibri"/>
          <w:sz w:val="22"/>
          <w:szCs w:val="22"/>
        </w:rPr>
        <w:t xml:space="preserve">Datenbankseitige Tests (Procs/Functions/Views): jeweiliger Entwickler des Artefakts</w:t>
      </w:r>
    </w:p>
    <w:p>
      <w:pPr>
        <w:pStyle w:val="ListParagraph"/>
        <w:numPr>
          <w:ilvl w:val="0"/>
          <w:numId w:val="2"/>
        </w:numPr>
        <w:spacing w:after="40" w:before="40"/>
      </w:pPr>
      <w:r>
        <w:rPr>
          <w:rFonts w:ascii="Calibri" w:cs="Calibri" w:eastAsia="Calibri" w:hAnsi="Calibri"/>
          <w:sz w:val="22"/>
          <w:szCs w:val="22"/>
        </w:rPr>
        <w:t xml:space="preserve">Frontend-Tests: Person, die die UI-Pages betreut</w:t>
      </w:r>
    </w:p>
    <w:p>
      <w:pPr>
        <w:pStyle w:val="ListParagraph"/>
        <w:numPr>
          <w:ilvl w:val="0"/>
          <w:numId w:val="2"/>
        </w:numPr>
        <w:spacing w:after="40" w:before="40"/>
      </w:pPr>
      <w:r>
        <w:rPr>
          <w:rFonts w:ascii="Calibri" w:cs="Calibri" w:eastAsia="Calibri" w:hAnsi="Calibri"/>
          <w:sz w:val="22"/>
          <w:szCs w:val="22"/>
        </w:rPr>
        <w:t xml:space="preserve">End-to-End-Walkthrough vor der Abgabe: gemeinsam</w:t>
      </w:r>
    </w:p>
    <w:p>
      <w:pPr>
        <w:pStyle w:val="Heading1"/>
        <w:spacing w:after="160" w:before="360"/>
      </w:pPr>
      <w:r>
        <w:rPr>
          <w:rFonts w:ascii="Calibri" w:cs="Calibri" w:eastAsia="Calibri" w:hAnsi="Calibri"/>
          <w:b/>
          <w:bCs/>
          <w:sz w:val="32"/>
          <w:szCs w:val="32"/>
        </w:rPr>
        <w:t xml:space="preserve">7. Abnahmekriterien</w:t>
      </w:r>
    </w:p>
    <w:p>
      <w:pPr>
        <w:spacing w:after="80" w:before="80"/>
      </w:pPr>
      <w:r>
        <w:rPr>
          <w:rFonts w:ascii="Calibri" w:cs="Calibri" w:eastAsia="Calibri" w:hAnsi="Calibri"/>
          <w:sz w:val="22"/>
          <w:szCs w:val="22"/>
        </w:rPr>
        <w:t xml:space="preserve">Die Implementierung gilt als abgenommen, wenn die folgenden Bedingungen erfüllt sind:</w:t>
      </w:r>
    </w:p>
    <w:p>
      <w:pPr>
        <w:pStyle w:val="ListParagraph"/>
        <w:numPr>
          <w:ilvl w:val="0"/>
          <w:numId w:val="2"/>
        </w:numPr>
        <w:spacing w:after="40" w:before="40"/>
      </w:pPr>
      <w:r>
        <w:rPr>
          <w:rFonts w:ascii="Calibri" w:cs="Calibri" w:eastAsia="Calibri" w:hAnsi="Calibri"/>
          <w:sz w:val="22"/>
          <w:szCs w:val="22"/>
        </w:rPr>
        <w:t xml:space="preserve">Alle kritischen und hohen Fehler aus den Test-Läufen sind behoben</w:t>
      </w:r>
    </w:p>
    <w:p>
      <w:pPr>
        <w:pStyle w:val="ListParagraph"/>
        <w:numPr>
          <w:ilvl w:val="0"/>
          <w:numId w:val="2"/>
        </w:numPr>
        <w:spacing w:after="40" w:before="40"/>
      </w:pPr>
      <w:r>
        <w:rPr>
          <w:rFonts w:ascii="Calibri" w:cs="Calibri" w:eastAsia="Calibri" w:hAnsi="Calibri"/>
          <w:sz w:val="22"/>
          <w:szCs w:val="22"/>
        </w:rPr>
        <w:t xml:space="preserve">Alle SPC-Kriterien (siehe Tabelle) sind verifiziert und protokolliert</w:t>
      </w:r>
    </w:p>
    <w:p>
      <w:pPr>
        <w:pStyle w:val="ListParagraph"/>
        <w:numPr>
          <w:ilvl w:val="0"/>
          <w:numId w:val="2"/>
        </w:numPr>
        <w:spacing w:after="40" w:before="40"/>
      </w:pPr>
      <w:r>
        <w:rPr>
          <w:rFonts w:ascii="Calibri" w:cs="Calibri" w:eastAsia="Calibri" w:hAnsi="Calibri"/>
          <w:sz w:val="22"/>
          <w:szCs w:val="22"/>
        </w:rPr>
        <w:t xml:space="preserve">Performance-Ziel (&lt; 10 Sek für 10 000 Items) ist erfüllt</w:t>
      </w:r>
    </w:p>
    <w:p>
      <w:pPr>
        <w:pStyle w:val="ListParagraph"/>
        <w:numPr>
          <w:ilvl w:val="0"/>
          <w:numId w:val="2"/>
        </w:numPr>
        <w:spacing w:after="40" w:before="40"/>
      </w:pPr>
      <w:r>
        <w:rPr>
          <w:rFonts w:ascii="Calibri" w:cs="Calibri" w:eastAsia="Calibri" w:hAnsi="Calibri"/>
          <w:sz w:val="22"/>
          <w:szCs w:val="22"/>
        </w:rPr>
        <w:t xml:space="preserve">Wechselseitige Schnittstellen-Durchläufe mit den Nachbargruppen wurden mindestens einmal erfolgreich absolviert</w:t>
      </w:r>
    </w:p>
    <w:p>
      <w:pPr>
        <w:pStyle w:val="ListParagraph"/>
        <w:numPr>
          <w:ilvl w:val="0"/>
          <w:numId w:val="2"/>
        </w:numPr>
        <w:spacing w:after="40" w:before="40"/>
      </w:pPr>
      <w:r>
        <w:rPr>
          <w:rFonts w:ascii="Calibri" w:cs="Calibri" w:eastAsia="Calibri" w:hAnsi="Calibri"/>
          <w:sz w:val="22"/>
          <w:szCs w:val="22"/>
        </w:rPr>
        <w:t xml:space="preserve">Audit-Trail (CREATED_BY/AT, APPROVED_BY/AT, CLOSED_BY/AT) wird korrekt befüllt</w:t>
      </w:r>
    </w:p>
    <w:p>
      <w:pPr>
        <w:pStyle w:val="ListParagraph"/>
        <w:numPr>
          <w:ilvl w:val="0"/>
          <w:numId w:val="2"/>
        </w:numPr>
        <w:spacing w:after="40" w:before="40"/>
      </w:pPr>
      <w:r>
        <w:rPr>
          <w:rFonts w:ascii="Calibri" w:cs="Calibri" w:eastAsia="Calibri" w:hAnsi="Calibri"/>
          <w:sz w:val="22"/>
          <w:szCs w:val="22"/>
        </w:rPr>
        <w:t xml:space="preserve">Fachliche Freigabe durch das Team und Bestätigung beim Coaching</w:t>
      </w:r>
    </w:p>
    <w:p>
      <w:pPr>
        <w:pStyle w:val="Heading2"/>
        <w:spacing w:after="120" w:before="240"/>
      </w:pPr>
      <w:r>
        <w:rPr>
          <w:rFonts w:ascii="Calibri" w:cs="Calibri" w:eastAsia="Calibri" w:hAnsi="Calibri"/>
          <w:b/>
          <w:bCs/>
          <w:sz w:val="26"/>
          <w:szCs w:val="26"/>
        </w:rPr>
        <w:t xml:space="preserve">Akzeptanzkriterien im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226"/>
        <w:gridCol w:w="2800"/>
      </w:tblGrid>
      <w:tr>
        <w:trPr>
          <w:tblHeader/>
        </w:trPr>
        <w:tc>
          <w:tcPr>
            <w:tcW w:type="dxa" w:w="1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Nr.</w:t>
            </w:r>
          </w:p>
        </w:tc>
        <w:tc>
          <w:tcPr>
            <w:tcW w:type="dxa" w:w="5226"/>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Kriterium</w:t>
            </w:r>
          </w:p>
        </w:tc>
        <w:tc>
          <w:tcPr>
            <w:tcW w:type="dxa" w:w="2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Test-Quelle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SPC-1</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Belege werden dem korrekten Abrechnungszeitraum (SOURCE_INVOICE_DATE) zugeordnet.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tests/sql/spc1_*.sql</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SPC-2</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Alle steuerrelevanten Belege werden vollständig erfasst — Item-Count entspricht V_LIST_OUTPUT_VAT + V_LIST_INPUT_VAT.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tests/sql/spc2_*.sql</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SPC-3</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Skonto-/Stornokorrekturen erscheinen als eigene Item-Zeilen (IS_CORRECTION=1) und mindern die Summe entsprechend (sobald Schnittstelle gepflegt).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tests/sql/spc3_*.sql</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SPC-4</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Zahllast / Überhang gemäß ADR-004 (Absolutbetrag + VAT_TYPE).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tests/sql/spc4_*.sql + TC-CAL-01..06</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SPC-5</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Nach Abschluss (PAID) ist die Abrechnung unveränderlich (Fehler 50002 bei Re-Create).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tests/sql/spc5_*.sql</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SPC-6</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Benutzer kann jede Abrechnung einsehen und die Berechnung nachvollziehen (UI-Detailseite).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UI-Walkthrough</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SPC-7</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Eine Periode kann erst ab dem 10. des Folgemonats abgerechnet werden (Fehler 50001 davor).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TC-CKP-02 + TC-SP-04</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SPC-8</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DRAFT-Abrechnungen können beliebig oft neu berechnet werden ohne Datendrift.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TC-SP-02</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SPC-9</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Statuswechsel werden rollenrichtig durchgeführt (SECURITY_LEVEL gemäß T_CODE_NEXT).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TC-STAT-01..05</w:t>
            </w:r>
          </w:p>
        </w:tc>
      </w:tr>
    </w:tbl>
    <w:p>
      <w:pPr>
        <w:pStyle w:val="Heading1"/>
        <w:spacing w:after="160" w:before="360"/>
      </w:pPr>
      <w:r>
        <w:rPr>
          <w:rFonts w:ascii="Calibri" w:cs="Calibri" w:eastAsia="Calibri" w:hAnsi="Calibri"/>
          <w:b/>
          <w:bCs/>
          <w:sz w:val="32"/>
          <w:szCs w:val="32"/>
        </w:rPr>
        <w:t xml:space="preserve">8. Risiken &amp; Gegenmaßnahmen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Risiko</w:t>
            </w:r>
          </w:p>
        </w:tc>
        <w:tc>
          <w:tcPr>
            <w:tcW w:type="dxa" w:w="4526"/>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Gegenmaßnahme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Schnittstellen-Spalten der Nachbargruppen ändern sich oder kommen später als erwartet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View-zentrierte Architektur (V_LIST_OUTPUT_VAT / V_LIST_INPUT_VAT) — Änderungen werden lokal in der View nachgezogen, Procs und Tests bleiben stabil. Spaltenstand wird in docs/schnittstellen_annahmen.md gepflegt.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Gruppe 8: Skonto-/Storno-Schnittstelle aktuell offen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Skonto-Pfad wird nur aktiviert, wenn die notwendigen T_PAYMENT_RECEIPT-Spalten vorhanden sind. Storno/Teilstorno wird als offene Position markiert und nicht implizit getestet. Siehe Kap. 9.</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dbo-Skripte können nur vom Architekten eingespielt werden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Setup-Skripte (sql/00_setup, sql/01_tables) frühzeitig fertigstellen und beim Architekten einreichen; Tests laufen parallel in der Sandbox.</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Performance-Probleme bei großen Belegmengen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Indizes auf VAT_PERIOD und VAT_STATEMENT_ID; Execution-Plan-Review vor der Phase-5-Präsentation.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Fachliche Missverständnisse beim Vorzeichen Zahllast/Überhang</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ADR-004 dokumentiert; sp_create_vat_statement liefert sowohl Absolutbetrag als auch VAT_TYPE; Beispielrechnung im UI sichtbar.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Frontend-Wechsel zu phpRunner während der Projektphase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Geschäftslogik liegt in der DB; Frontend bleibt dünn. Stichtag für die Wechselentscheidung wird im Team festgelegt (ADR-006).</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Periodenwechsel rund um den 10. des Folgemonats</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fn_check_vat_period mit harten Tests abgesichert; Hinweis-Text in der UI.</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Rollenprüfung in den Status-Procedures noch nicht final getestet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Sobald PR #21 gemerged ist, Rollen-Test-Suite (TC-STAT-01..05) gegen die echten Procedures laufen lassen.</w:t>
            </w:r>
          </w:p>
        </w:tc>
      </w:tr>
    </w:tbl>
    <w:p>
      <w:pPr>
        <w:pStyle w:val="Heading1"/>
        <w:spacing w:after="160" w:before="360"/>
      </w:pPr>
      <w:r>
        <w:rPr>
          <w:rFonts w:ascii="Calibri" w:cs="Calibri" w:eastAsia="Calibri" w:hAnsi="Calibri"/>
          <w:b/>
          <w:bCs/>
          <w:sz w:val="32"/>
          <w:szCs w:val="32"/>
        </w:rPr>
        <w:t xml:space="preserve">9. Offene Punkte (nicht abnahmefähig in MS5)</w:t>
      </w:r>
    </w:p>
    <w:p>
      <w:pPr>
        <w:spacing w:after="80" w:before="80"/>
      </w:pPr>
      <w:r>
        <w:rPr>
          <w:rFonts w:ascii="Calibri" w:cs="Calibri" w:eastAsia="Calibri" w:hAnsi="Calibri"/>
          <w:sz w:val="22"/>
          <w:szCs w:val="22"/>
        </w:rPr>
        <w:t xml:space="preserve">Die folgenden Bereiche werden ausdrücklich nicht als abnahmefähig im Rahmen von MS5 modelliert. Sie bekommen Abnahmekriterien mit Vorbedingung — sobald die genannte Schnittstelle final ist, gilt der jeweilige Testfall.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Bereich</w:t>
            </w:r>
          </w:p>
        </w:tc>
        <w:tc>
          <w:tcPr>
            <w:tcW w:type="dxa" w:w="6026"/>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Status / Vorbedingung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Gruppe 7 — Korrektur-Schnittstelle (IS_CORRECTION, ORIGINAL_INVOICE_ID)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V_LIST_OUTPUT_VAT liefert aktuell Defaultwerte. Sobald Gruppe 7 die Felder verbindlich pflegt, wird die View angepasst und Testfälle für Korrekturen scharfgeschaltet.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Gruppe 4 — finale Vorsteuerquelle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Vorsteuer wird heute aus T_SUPPLIER_INVOICE_ITEM aggregiert. Falls Gruppe 4 eine zentrale TAX_AMOUNT-Spalte liefert, wird V_LIST_INPUT_VAT umgestellt; Tests bleiben unverändert.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Gruppe 8 — Storno / Teilstorno / Zahlungsdifferenzen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Keine finale Schnittstelle. Wird in MS5 weder implementiert noch abgenommen. Sobald die Semantik von STORNO_YN / DIFFERENCE_AMOUNT verbindlich ist, wird Kapitel 3.2 erweitert.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Gruppen 9 / 10 — Barrechnungen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Technische Quelle aktuell offen. Erst nach Klärung Bestandteil der Integrationstests.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Plausibilisierung gelieferter Steuerwerte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Optional und nachgelagert. Nicht Bestandteil dieses Konzepts.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Echte Authentifizierung in der UI</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Streamlit-Demo-Login ersetzt keine produktive Authentifizierung. Fachliche Rollensicherung erfolgt in der DB-Schicht.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VAT_STATUS-Codes 9001–9003</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Bestätigung der finalen IDs durch Architekt offen (siehe Issue / docs/offene_fragen.md).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Abschlussbegriff PAID vs. CLOSED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Aktuell PAID (ADR-001). In der Übergabe-Doku als offene Frage markiert — entscheiden vor MS5-Präsentation, falls Wechsel gewünscht.</w:t>
            </w:r>
          </w:p>
        </w:tc>
      </w:tr>
    </w:tbl>
    <w:p>
      <w:pPr>
        <w:pStyle w:val="Heading1"/>
        <w:spacing w:after="160" w:before="360"/>
      </w:pPr>
      <w:r>
        <w:rPr>
          <w:rFonts w:ascii="Calibri" w:cs="Calibri" w:eastAsia="Calibri" w:hAnsi="Calibri"/>
          <w:b/>
          <w:bCs/>
          <w:sz w:val="32"/>
          <w:szCs w:val="32"/>
        </w:rPr>
        <w:t xml:space="preserve">10. Anhang</w:t>
      </w:r>
    </w:p>
    <w:p>
      <w:pPr>
        <w:pStyle w:val="Heading2"/>
        <w:spacing w:after="120" w:before="240"/>
      </w:pPr>
      <w:r>
        <w:rPr>
          <w:rFonts w:ascii="Calibri" w:cs="Calibri" w:eastAsia="Calibri" w:hAnsi="Calibri"/>
          <w:b/>
          <w:bCs/>
          <w:sz w:val="26"/>
          <w:szCs w:val="26"/>
        </w:rPr>
        <w:t xml:space="preserve">10.1 Bezugsdokumente und ADR-Referenzen</w:t>
      </w:r>
    </w:p>
    <w:p>
      <w:pPr>
        <w:pStyle w:val="ListParagraph"/>
        <w:numPr>
          <w:ilvl w:val="0"/>
          <w:numId w:val="2"/>
        </w:numPr>
        <w:spacing w:after="40" w:before="40"/>
      </w:pPr>
      <w:r>
        <w:rPr>
          <w:rFonts w:ascii="Calibri" w:cs="Calibri" w:eastAsia="Calibri" w:hAnsi="Calibri"/>
          <w:sz w:val="22"/>
          <w:szCs w:val="22"/>
        </w:rPr>
        <w:t xml:space="preserve">ADR-001 Status-Modell (DRAFT / APPROVED / PAID)</w:t>
      </w:r>
    </w:p>
    <w:p>
      <w:pPr>
        <w:pStyle w:val="ListParagraph"/>
        <w:numPr>
          <w:ilvl w:val="0"/>
          <w:numId w:val="2"/>
        </w:numPr>
        <w:spacing w:after="40" w:before="40"/>
      </w:pPr>
      <w:r>
        <w:rPr>
          <w:rFonts w:ascii="Calibri" w:cs="Calibri" w:eastAsia="Calibri" w:hAnsi="Calibri"/>
          <w:sz w:val="22"/>
          <w:szCs w:val="22"/>
        </w:rPr>
        <w:t xml:space="preserve">ADR-002 Rollen-Reihenfolge (Sachbearbeiter, CFO, Leitung FiBu)</w:t>
      </w:r>
    </w:p>
    <w:p>
      <w:pPr>
        <w:pStyle w:val="ListParagraph"/>
        <w:numPr>
          <w:ilvl w:val="0"/>
          <w:numId w:val="2"/>
        </w:numPr>
        <w:spacing w:after="40" w:before="40"/>
      </w:pPr>
      <w:r>
        <w:rPr>
          <w:rFonts w:ascii="Calibri" w:cs="Calibri" w:eastAsia="Calibri" w:hAnsi="Calibri"/>
          <w:sz w:val="22"/>
          <w:szCs w:val="22"/>
        </w:rPr>
        <w:t xml:space="preserve">ADR-003 Spaltennamen VAT_STATUS / SOURCE_INVOICE_DATE</w:t>
      </w:r>
    </w:p>
    <w:p>
      <w:pPr>
        <w:pStyle w:val="ListParagraph"/>
        <w:numPr>
          <w:ilvl w:val="0"/>
          <w:numId w:val="2"/>
        </w:numPr>
        <w:spacing w:after="40" w:before="40"/>
      </w:pPr>
      <w:r>
        <w:rPr>
          <w:rFonts w:ascii="Calibri" w:cs="Calibri" w:eastAsia="Calibri" w:hAnsi="Calibri"/>
          <w:sz w:val="22"/>
          <w:szCs w:val="22"/>
        </w:rPr>
        <w:t xml:space="preserve">ADR-004 Saldo als Absolutbetrag plus VAT_TYPE</w:t>
      </w:r>
    </w:p>
    <w:p>
      <w:pPr>
        <w:pStyle w:val="ListParagraph"/>
        <w:numPr>
          <w:ilvl w:val="0"/>
          <w:numId w:val="2"/>
        </w:numPr>
        <w:spacing w:after="40" w:before="40"/>
      </w:pPr>
      <w:r>
        <w:rPr>
          <w:rFonts w:ascii="Calibri" w:cs="Calibri" w:eastAsia="Calibri" w:hAnsi="Calibri"/>
          <w:sz w:val="22"/>
          <w:szCs w:val="22"/>
        </w:rPr>
        <w:t xml:space="preserve">ADR-005 Korrekturen als eigene Item-Zeile</w:t>
      </w:r>
    </w:p>
    <w:p>
      <w:pPr>
        <w:pStyle w:val="ListParagraph"/>
        <w:numPr>
          <w:ilvl w:val="0"/>
          <w:numId w:val="2"/>
        </w:numPr>
        <w:spacing w:after="40" w:before="40"/>
      </w:pPr>
      <w:r>
        <w:rPr>
          <w:rFonts w:ascii="Calibri" w:cs="Calibri" w:eastAsia="Calibri" w:hAnsi="Calibri"/>
          <w:sz w:val="22"/>
          <w:szCs w:val="22"/>
        </w:rPr>
        <w:t xml:space="preserve">ADR-006 Frontend-Stack Python / Streamlit (phpRunner-Option offen)</w:t>
      </w:r>
    </w:p>
    <w:p>
      <w:pPr>
        <w:pStyle w:val="ListParagraph"/>
        <w:numPr>
          <w:ilvl w:val="0"/>
          <w:numId w:val="2"/>
        </w:numPr>
        <w:spacing w:after="40" w:before="40"/>
      </w:pPr>
      <w:r>
        <w:rPr>
          <w:rFonts w:ascii="Calibri" w:cs="Calibri" w:eastAsia="Calibri" w:hAnsi="Calibri"/>
          <w:sz w:val="22"/>
          <w:szCs w:val="22"/>
        </w:rPr>
        <w:t xml:space="preserve">ADR-007 HdM-Namenskonventionen</w:t>
      </w:r>
    </w:p>
    <w:p>
      <w:pPr>
        <w:pStyle w:val="ListParagraph"/>
        <w:numPr>
          <w:ilvl w:val="0"/>
          <w:numId w:val="2"/>
        </w:numPr>
        <w:spacing w:after="40" w:before="40"/>
      </w:pPr>
      <w:r>
        <w:rPr>
          <w:rFonts w:ascii="Calibri" w:cs="Calibri" w:eastAsia="Calibri" w:hAnsi="Calibri"/>
          <w:sz w:val="22"/>
          <w:szCs w:val="22"/>
        </w:rPr>
        <w:t xml:space="preserve">docs/zielbild.md — fachliches Soll-Bild der Umsatzsteuer-App</w:t>
      </w:r>
    </w:p>
    <w:p>
      <w:pPr>
        <w:pStyle w:val="ListParagraph"/>
        <w:numPr>
          <w:ilvl w:val="0"/>
          <w:numId w:val="2"/>
        </w:numPr>
        <w:spacing w:after="40" w:before="40"/>
      </w:pPr>
      <w:r>
        <w:rPr>
          <w:rFonts w:ascii="Calibri" w:cs="Calibri" w:eastAsia="Calibri" w:hAnsi="Calibri"/>
          <w:sz w:val="22"/>
          <w:szCs w:val="22"/>
        </w:rPr>
        <w:t xml:space="preserve">docs/schnittstellen_annahmen.md — gepflegte Annahmen je Schnittstelle</w:t>
      </w:r>
    </w:p>
    <w:p>
      <w:pPr>
        <w:pStyle w:val="ListParagraph"/>
        <w:numPr>
          <w:ilvl w:val="0"/>
          <w:numId w:val="2"/>
        </w:numPr>
        <w:spacing w:after="40" w:before="40"/>
      </w:pPr>
      <w:r>
        <w:rPr>
          <w:rFonts w:ascii="Calibri" w:cs="Calibri" w:eastAsia="Calibri" w:hAnsi="Calibri"/>
          <w:sz w:val="22"/>
          <w:szCs w:val="22"/>
        </w:rPr>
        <w:t xml:space="preserve">Übergabe-Doku Systemkonzept V2 (2026-06-08) — Auslöser dieser Überarbeitung</w:t>
      </w:r>
    </w:p>
    <w:p>
      <w:pPr>
        <w:pStyle w:val="Heading2"/>
        <w:spacing w:after="120" w:before="240"/>
      </w:pPr>
      <w:r>
        <w:rPr>
          <w:rFonts w:ascii="Calibri" w:cs="Calibri" w:eastAsia="Calibri" w:hAnsi="Calibri"/>
          <w:b/>
          <w:bCs/>
          <w:sz w:val="26"/>
          <w:szCs w:val="26"/>
        </w:rPr>
        <w:t xml:space="preserve">10.2 Verzeichnis der Testartefakte im Repo</w:t>
      </w:r>
    </w:p>
    <w:p>
      <w:pPr>
        <w:pStyle w:val="ListParagraph"/>
        <w:numPr>
          <w:ilvl w:val="0"/>
          <w:numId w:val="2"/>
        </w:numPr>
        <w:spacing w:after="40" w:before="40"/>
      </w:pPr>
      <w:r>
        <w:rPr>
          <w:rFonts w:ascii="Calibri" w:cs="Calibri" w:eastAsia="Calibri" w:hAnsi="Calibri"/>
          <w:sz w:val="22"/>
          <w:szCs w:val="22"/>
        </w:rPr>
        <w:t xml:space="preserve">tests/test_cases.md — vollständiger Testfall-Katalog</w:t>
      </w:r>
    </w:p>
    <w:p>
      <w:pPr>
        <w:pStyle w:val="ListParagraph"/>
        <w:numPr>
          <w:ilvl w:val="0"/>
          <w:numId w:val="2"/>
        </w:numPr>
        <w:spacing w:after="40" w:before="40"/>
      </w:pPr>
      <w:r>
        <w:rPr>
          <w:rFonts w:ascii="Calibri" w:cs="Calibri" w:eastAsia="Calibri" w:hAnsi="Calibri"/>
          <w:sz w:val="22"/>
          <w:szCs w:val="22"/>
        </w:rPr>
        <w:t xml:space="preserve">tests/abnahmekriterien.md — SPC-Kriterien mit Definition of Done</w:t>
      </w:r>
    </w:p>
    <w:p>
      <w:pPr>
        <w:pStyle w:val="ListParagraph"/>
        <w:numPr>
          <w:ilvl w:val="0"/>
          <w:numId w:val="2"/>
        </w:numPr>
        <w:spacing w:after="40" w:before="40"/>
      </w:pPr>
      <w:r>
        <w:rPr>
          <w:rFonts w:ascii="Calibri" w:cs="Calibri" w:eastAsia="Calibri" w:hAnsi="Calibri"/>
          <w:sz w:val="22"/>
          <w:szCs w:val="22"/>
        </w:rPr>
        <w:t xml:space="preserve">tests/sql/fn_calculate_vat_balance_basic.sql — ausführbarer SQL-Test</w:t>
      </w:r>
    </w:p>
    <w:p>
      <w:pPr>
        <w:pStyle w:val="ListParagraph"/>
        <w:numPr>
          <w:ilvl w:val="0"/>
          <w:numId w:val="2"/>
        </w:numPr>
        <w:spacing w:after="40" w:before="40"/>
      </w:pPr>
      <w:r>
        <w:rPr>
          <w:rFonts w:ascii="Calibri" w:cs="Calibri" w:eastAsia="Calibri" w:hAnsi="Calibri"/>
          <w:sz w:val="22"/>
          <w:szCs w:val="22"/>
        </w:rPr>
        <w:t xml:space="preserve">tests/sql/sp_create_vat_statement_demo.sql — Demo-Integrationstest (kommt mit PR #21)</w:t>
      </w:r>
    </w:p>
    <w:p>
      <w:pPr>
        <w:pStyle w:val="ListParagraph"/>
        <w:numPr>
          <w:ilvl w:val="0"/>
          <w:numId w:val="2"/>
        </w:numPr>
        <w:spacing w:after="40" w:before="40"/>
      </w:pPr>
      <w:r>
        <w:rPr>
          <w:rFonts w:ascii="Calibri" w:cs="Calibri" w:eastAsia="Calibri" w:hAnsi="Calibri"/>
          <w:sz w:val="22"/>
          <w:szCs w:val="22"/>
        </w:rPr>
        <w:t xml:space="preserve">tests/sql/sp_status_workflow_roles_demo.sql — Rollen-Demo (kommt mit PR #21)</w:t>
      </w:r>
    </w:p>
    <w:p>
      <w:pPr>
        <w:pStyle w:val="ListParagraph"/>
        <w:numPr>
          <w:ilvl w:val="0"/>
          <w:numId w:val="2"/>
        </w:numPr>
        <w:spacing w:after="40" w:before="40"/>
      </w:pPr>
      <w:r>
        <w:rPr>
          <w:rFonts w:ascii="Calibri" w:cs="Calibri" w:eastAsia="Calibri" w:hAnsi="Calibri"/>
          <w:sz w:val="22"/>
          <w:szCs w:val="22"/>
        </w:rPr>
        <w:t xml:space="preserve">tests/sql/README.md — Konvention für SQL-Test-Files</w:t>
      </w:r>
    </w:p>
    <w:p>
      <w:pPr>
        <w:pStyle w:val="Heading2"/>
        <w:spacing w:after="120" w:before="240"/>
      </w:pPr>
      <w:r>
        <w:rPr>
          <w:rFonts w:ascii="Calibri" w:cs="Calibri" w:eastAsia="Calibri" w:hAnsi="Calibri"/>
          <w:b/>
          <w:bCs/>
          <w:sz w:val="26"/>
          <w:szCs w:val="26"/>
        </w:rPr>
        <w:t xml:space="preserve">10.3 Änderungshistorie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rPr>
          <w:tblHeader/>
        </w:trPr>
        <w:tc>
          <w:tcPr>
            <w:tcW w:type="dxa" w:w="15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Version</w:t>
            </w:r>
          </w:p>
        </w:tc>
        <w:tc>
          <w:tcPr>
            <w:tcW w:type="dxa" w:w="15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Stand</w:t>
            </w:r>
          </w:p>
        </w:tc>
        <w:tc>
          <w:tcPr>
            <w:tcW w:type="dxa" w:w="6026"/>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rFonts w:ascii="Calibri" w:cs="Calibri" w:eastAsia="Calibri" w:hAnsi="Calibri"/>
                <w:b/>
                <w:bCs/>
                <w:sz w:val="20"/>
                <w:szCs w:val="20"/>
              </w:rPr>
              <w:t xml:space="preserve">Änderung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2026-06-03</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Erste DOCX-Version aus MS4-Kontext (Commit 8680e99)</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2026-06-08</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Strukturelle Überarbeitung auf Basis von zielbild.md + schnittstellen_annahmen.md (PR #21) und Übergabe-Doku Systemkonzept V2. Dateiname auf _Intern geändert; Abgabe-Kurzfassung als Schwesterdatei.</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right"/>
    </w:pPr>
    <w:r>
      <w:rPr>
        <w:rFonts w:ascii="Calibri" w:cs="Calibri" w:eastAsia="Calibri" w:hAnsi="Calibri"/>
        <w:color w:val="808080"/>
        <w:sz w:val="18"/>
        <w:szCs w:val="18"/>
      </w:rPr>
      <w:t xml:space="preserve">Stand 2026-06-08	</w:t>
    </w:r>
    <w:r>
      <w:rPr>
        <w:rFonts w:ascii="Calibri" w:cs="Calibri" w:eastAsia="Calibri" w:hAnsi="Calibri"/>
        <w:color w:val="808080"/>
        <w:sz w:val="18"/>
        <w:szCs w:val="18"/>
      </w:rPr>
      <w:t xml:space="preserve">Seite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MS5 Test- und Abnahmekonzept • Intern • Gruppe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MS5 Test- und Abnahmekonzept (Intern)</dc:title>
  <dc:creator>Gruppe 15 — SoPra Umsatzsteuerabrechnung</dc:creator>
  <dc:description>Strukturell überarbeitete technische Vollversion</dc:description>
  <cp:lastModifiedBy>Un-named</cp:lastModifiedBy>
  <cp:revision>1</cp:revision>
  <dcterms:created xsi:type="dcterms:W3CDTF">2026-06-08T11:33:31.706Z</dcterms:created>
  <dcterms:modified xsi:type="dcterms:W3CDTF">2026-06-08T11:33:31.707Z</dcterms:modified>
</cp:coreProperties>
</file>

<file path=docProps/custom.xml><?xml version="1.0" encoding="utf-8"?>
<Properties xmlns="http://schemas.openxmlformats.org/officeDocument/2006/custom-properties" xmlns:vt="http://schemas.openxmlformats.org/officeDocument/2006/docPropsVTypes"/>
</file>