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Phase 5 — Test- und Abnahmekonzept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Modul Umsatzsteuerabrechnung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SoPra SoSe 2026 — Gruppe 15 — Adventure Bike ERP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Ziel des Testkonzepts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Wir wollen sicherstellen, dass: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die Umsatzsteuerabrechnung pro Monat fachlich korrekt aus Ein- und Ausgangsrechnungen ermittelt wird,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Zahllast und Vorsteuerüberhang gemäß unserer Konvention nachvollziehbar berechnet werden,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der Status-Workflow (Entwurf, Freigabe, Auszahlung) rollenrichtig und unveränderlich abgeschlossen wird,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Skonto- und Korrekturfälle, soweit von den Partnergruppen geliefert, periodenrichtig einfließen,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die Lösung stabil und performant bleibt, auch wenn Partnergruppen ihre Schnittstellen ändern,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Fehler vor der gemeinsamen Integration mit den anderen Gruppen erkannt werden.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Testobjekt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Getestet werden die eigenen Bausteine des Moduls: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Datenbank-Funktionen und Stored Procedures für Periodenprüfung, Saldoberechnung, Anlage, Freigabe, Auszahlung und Rückweisung,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eigene Tabellen für die Abrechnung und ihre Detailzeilen,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Lese-Views, die die Schnittstellen zu den Nachbargruppen kapseln,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Streamlit-Frontend mit den Seiten Übersicht, Neue Abrechnung, Detail.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Die Tabellen der Nachbargruppen (Eingangs- und Ausgangsrechnungen, Zahlungseingänge, Status- und Benutzertabellen) werden nur lesend genutzt und sind nicht selbst Testobjekt.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Testarten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3.1 Unit-Tests (Datenbank-Unit-Tests)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Prüfung einzelner T-SQL-Bausteine isoliert.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Saldoberechnung bei: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überwiegender Umsatzsteuer (Zahllast)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überwiegender Vorsteuer (Überhang)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ausgeglichenen Summen (Neutral)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Randfällen wie beide Werte null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Periodenprüfung: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zu früher Aufruf vor dem 10. des Folgemonats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erneute Anlage einer bereits freigegebenen oder ausgezahlten Periode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ungültige Periodenformate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Rollenprüfung beim Statuswechsel.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Datenbank-Constraints in den eigenen Tabellen.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Werkzeug:</w:t>
      </w:r>
      <w:r>
        <w:rPr>
          <w:rFonts w:ascii="Calibri" w:cs="Calibri" w:eastAsia="Calibri" w:hAnsi="Calibri"/>
          <w:sz w:val="22"/>
          <w:szCs w:val="22"/>
        </w:rPr>
        <w:t xml:space="preserve"> Manuelle SQL-Tests gegen die Sandbox mit erwartetem Pass/Fail-Ergebnis.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3.2 Integrationstests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Zusammenspiel der Bausteine im Modul und mit den Lese-Views der Nachbargruppen.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Vollständiger Durchlauf: Anlage einer Abrechnung, Freigabe, Auszahlung.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Rückgabe-Pfad: nach einer Freigabe zurück in den Entwurf, neu berechnen, erneut freigeben.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Übernahme der Belege aus den Lese-Views in die Abrechnungs-Detailtabelle.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Periodenwechsel: zwei aufeinanderfolgende Monate werden korrekt voneinander abgegrenzt.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Späte Korrektur durch eine Zahlung mit Skonto fließt in die nächste offene Periode.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Zusammenspiel von Frontend und Datenbank für die Anlage einer neuen Abrechnung, inklusive Fehleranzeige bei ungültigem Aufruf.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3.3 Negativ- und Grenzwerttests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= leer oder ungültig (zum Beispiel "2026-13")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noch nicht abrechenbar (vor dem 10. des Folgemonats)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bereits freigegeben oder ausgezahlt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Kein einziger relevanter Beleg im Monat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Sehr große Beleganzahl (mehrere tausend Items)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Versuch eines Statuswechsels ohne ausreichende Rolle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3.4 Regressionstests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Absicherung bei Änderungen am Code oder an den Quellen der Nachbargruppen.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Wenn eine Partnergruppe ihre Quellstruktur ändert, wird primär die zugehörige Lese-View angepasst. Prozeduren und Tests sollen unverändert weiter grün sein.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Nach Index- oder Constraint-Änderungen müssen die Berechnungsergebnisse identisch bleiben.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Wiederholtes Anlegen und Neuberechnen einer Entwurfs-Abrechnung erzeugt keine Drift.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3.5 Rollen- und Berechtigungstests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Prüfen, dass nur die fachlich zuständige Rolle den jeweiligen Statuswechsel auslösen darf.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Sachbearbeiter darf Abrechnungen anlegen, aber nicht freigeben oder auszahlen.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CFO darf freigeben und zurückweisen, aber nicht auszahlen.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Leitung FiBu darf auszahlen, aber nicht freigeben.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Unbekannte oder gesperrte Benutzer erhalten beim Statuswechsel eine eindeutige Fehlermeldung.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3.6 Performance- und Lasttests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Praktikable Laufzeiten auch bei vielen Belegen je Monat.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Anlegen einer Abrechnung mit etwa zehntausend Belegen je Monat.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Wiederholtes Neuberechnen derselben Periode ohne Drift.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Sichtkontrolle der genutzten Indizes.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Zielwerte:</w:t>
      </w:r>
      <w:r>
        <w:rPr>
          <w:rFonts w:ascii="Calibri" w:cs="Calibri" w:eastAsia="Calibri" w:hAnsi="Calibri"/>
          <w:sz w:val="22"/>
          <w:szCs w:val="22"/>
        </w:rPr>
        <w:t xml:space="preserve"> Anlage einer Abrechnung unter zwei Sekunden bei tausend Belegen, unter zehn Sekunden bei zehntausend Belegen.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3.7 Frontend-Akzeptanztests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Manueller Durchlauf der drei Seiten der Streamlit-App: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Übersicht zeigt alle bestehenden Abrechnungen mit Status und Saldo.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Neue Abrechnung: Periodenauswahl, Anlegen, Rückmeldung bei Fehlern.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Detail: Belege vollständig, Status-Aktionen rollenrichtig sichtbar oder ausgegraut, Audit-Spuren sichtbar.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Testdatenkonzept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4.1 Testdatenarten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Standardperiode mit gemischten Ein- und Ausgangsrechnungen (Zahllast)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überwiegender Vorsteuer (Überhang)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ausgeglichenen Summen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Leere Periode ohne relevante Belege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Skonto- oder Spätkorrektur, sobald von Gruppe 8 geliefert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Großmengen-Periode für Performance-Messungen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4.2 Datenquelle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Primär Bestandsdaten aus der gemeinsamen Entwicklungsdatenbank. Eigene synthetische Belege werden ausschließlich in unserer Sandbox erzeugt; ein Demo-Seed-Skript deckt die Hauptfälle ab.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Testumgebung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Eigene Sandbox-Datenbank für Unit-Tests und manuelle Prüfungen.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Gemeinsame Entwicklungsdatenbank für Integrationstests mit Nachbargruppen.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Streamlit-Frontend lokal, Browser für manuelle Prüfung.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DEV ist führend; die Sandbox wird an die DEV-Zielstruktur angepasst, nicht umgekehrt.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Testdurchführung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Ablauf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Unit-Tests durch den Entwickler nach Implementierung jedes Bausteins.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Integrationstests in der Sandbox vor dem Deploy auf die Entwicklungsdatenbank.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Wechselseitige Integrationstests mit den Nachbargruppen.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Fachliche Abnahme im Team.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Regressionslauf vor der Präsentation.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Dokumentation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Testfälle im Repo (Markdown), pflegbar im Git.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Erwartetes Ergebnis und Ist-Ergebnis pro Testfall.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Fehlerklassifizierung: kritisch, hoch, mittel, niedrig.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Abnahmekriterien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Alle kritischen und hohen Fehler sind behoben.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Belege werden dem richtigen Monat zugeordnet, vollständig erfasst und revisionssicher gespeichert.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Zahllast und Vorsteuerüberhang werden konsistent nach der vereinbarten Konvention berechnet.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Eine abgeschlossene Abrechnung bleibt unveränderlich.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Statuswechsel werden rollenrichtig durchgeführt.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Eine Periode kann erst ab dem 10. des Folgemonats abgerechnet werden.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Performance-Ziel für die Anlage einer Abrechnung ist erreicht.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Wechselseitige Integration mit den Nachbargruppen wurde mindestens einmal erfolgreich durchgespielt.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 Team gibt die fachliche Freigabe.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Risiken &amp; Gegenmaßnahmen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Risiko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Gegenmaßnahme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Schnittstellen von Nachbargruppen ändern sich noch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Lese-Views kapseln Schnittstellen. Änderungen werden lokal in der View nachgezogen.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Gruppe 8 (Skonto, Storno) noch nicht final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Skonto wird nur aktiviert, wenn die nötigen Felder vorhanden sind. Storno wird als offen markiert und nicht implizit abgenommen.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Tabellen in dbo nur durch den Architekten anlegbar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Setup-Skripte frühzeitig fertigstellen und einreichen; Tests laufen parallel in der Sandbox.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 bei vielen Belegen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Index- und Plan-Review vor der Präsentation.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Missverständnis beim Vorzeichen von Zahllast und Überhang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Klare Konvention dokumentiert; Beispielrechnung in der UI sichtbar.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Periodenwechsel rund um den 10. des Folgemonats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Periodenprüfung mit harten Tests abgesichert; Hinweis in der UI.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Offene Punkte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Folgende Bereiche sind bewusst nicht Bestandteil der Abnahme in MS5. Sie werden mit Vorbedingung geführt und scharfgeschaltet, sobald die jeweilige Schnittstelle final geklärt ist: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Korrektur-Schnittstelle von Gruppe 7 (markierte Korrekturen und Verweis auf die Ursprungsrechnung).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Finale Vorsteuerquelle von Gruppe 4 (geprüfter Steuerbetrag oder weiterhin Aggregation aus Positionen).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Storno, Teilstorno und Zahlungsdifferenzen von Gruppe 8.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Technische Quelle der Barrechnungen aus Gruppen 9 und 10.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Echte Authentifizierung im Frontend (aktuell Demo-Bedienung).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Bestätigung der finalen Status-Codes durch den Architekten.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Endgültige Benennung des Abschluss-Status (PAID gegenüber neutraleren Begriffen).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Stand 2026-06-08	</w:t>
    </w:r>
    <w:r>
      <w:rPr>
        <w:rFonts w:ascii="Calibri" w:cs="Calibri" w:eastAsia="Calibri" w:hAnsi="Calibri"/>
        <w:color w:val="808080"/>
        <w:sz w:val="18"/>
        <w:szCs w:val="18"/>
      </w:rPr>
      <w:t xml:space="preserve">Seite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/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Phase 5 — Testkonzept • Abgabe • Gruppe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 — Test- und Abnahmekonzept (Abgabe)</dc:title>
  <dc:creator>Gruppe 15 — SoPra Umsatzsteuerabrechnung</dc:creator>
  <dc:description>Kompakte Präsentations- und Abgabefassung</dc:description>
  <cp:lastModifiedBy>Un-named</cp:lastModifiedBy>
  <cp:revision>1</cp:revision>
  <dcterms:created xsi:type="dcterms:W3CDTF">2026-06-08T11:39:22.108Z</dcterms:created>
  <dcterms:modified xsi:type="dcterms:W3CDTF">2026-06-08T11:39:22.108Z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