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Title</w:t>
      </w:r>
    </w:p>
    <w:p>
      <w:r>
        <w:t>hello,world!</w:t>
        <w:br/>
        <w:t>This is the second Paragraph!</w:t>
      </w:r>
    </w:p>
    <w:p>
      <w:r>
        <w:t>Word 和其他文字处理软件利用样式，保持类似类型的文本在视觉展现上一致，</w:t>
        <w:br/>
        <w:t>并易于修改。例如，也许你希望将内容段落设置为 11 点，Times New Roman，左对</w:t>
        <w:br/>
        <w:t>齐，右边不对齐的文本。可以用这些设置创建一种样式，将它赋给所有的文本段落。</w:t>
        <w:br/>
        <w:t>然后，如果稍后想改变文档中所有内容段落的展现形式，只要改变这种样式，所有</w:t>
        <w:br/>
        <w:t>段落都会自动更新。</w:t>
      </w:r>
    </w:p>
    <w:p>
      <w:r>
        <w:drawing>
          <wp:inline xmlns:a="http://schemas.openxmlformats.org/drawingml/2006/main" xmlns:pic="http://schemas.openxmlformats.org/drawingml/2006/picture">
            <wp:extent cx="5486400" cy="3383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2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