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28"/>
        </w:rPr>
        <w:t>UNIVERSIDAD CHAMPAGNAT</w:t>
        <w:br/>
        <w:t>FACULTAD DE INFORMÁTICA Y DISEÑO</w:t>
      </w:r>
    </w:p>
    <w:p>
      <w:pPr>
        <w:jc w:val="center"/>
      </w:pPr>
      <w:r>
        <w:rPr>
          <w:rFonts w:ascii="Calibri" w:hAnsi="Calibri"/>
          <w:color w:val="4A5568"/>
          <w:sz w:val="24"/>
        </w:rPr>
        <w:t>Licenciatura en Sistemas de Información</w:t>
        <w:br/>
        <w:t>Programación Distribuida</w:t>
      </w:r>
    </w:p>
    <w:p>
      <w:r>
        <w:br/>
      </w:r>
    </w:p>
    <w:p>
      <w:pPr>
        <w:jc w:val="center"/>
      </w:pPr>
      <w:r>
        <w:rPr>
          <w:rFonts w:ascii="Calibri" w:hAnsi="Calibri"/>
          <w:b/>
          <w:color w:val="1E40AF"/>
          <w:sz w:val="40"/>
        </w:rPr>
        <w:t>TRABAJO PRÁCTICO N° 5</w:t>
        <w:br/>
        <w:t>DE API REST A MICROSERVICIOS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Evolución Arquitectónica, Desacoplamiento y Entorno Colaborativo con Git</w:t>
        <w:br/>
        <w:t>Grupo N° 1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Fecha de Entrega: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Octubre 2026</w:t>
            </w:r>
          </w:p>
        </w:tc>
      </w:tr>
      <w:tr>
        <w:tc>
          <w:tcPr>
            <w:tcW w:type="dxa" w:w="331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Grupo Asignado: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Grupo N° 1 (5 integrantes)</w:t>
            </w:r>
          </w:p>
        </w:tc>
      </w:tr>
      <w:tr>
        <w:tc>
          <w:tcPr>
            <w:tcW w:type="dxa" w:w="331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Docentes de Cátedra: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Prof. Adriel Álvarez (alvarezadriel@uch.edu.ar)</w:t>
              <w:br/>
              <w:t>Prof. Edgardo Cortez (cortezedgardo@uch.edu.ar)</w:t>
            </w:r>
          </w:p>
        </w:tc>
      </w:tr>
      <w:tr>
        <w:tc>
          <w:tcPr>
            <w:tcW w:type="dxa" w:w="331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Repositorio Remoto (GitHub):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https://github.com/aisamajoel-tech/Trabajo-Integrador-Programacion-Distribuida-Grupo-1</w:t>
              <w:br/>
              <w:t>Tag Oficial de Entrega: tp5-entrega</w:t>
            </w:r>
          </w:p>
        </w:tc>
      </w:tr>
    </w:tbl>
    <w:p>
      <w:r>
        <w:br/>
      </w:r>
    </w:p>
    <w:p>
      <w:r>
        <w:rPr>
          <w:b/>
          <w:sz w:val="22"/>
        </w:rPr>
        <w:t>INTEGRANTES DEL GRUPO (Sin DNI por solicitud):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Apellido y Nombre</w:t>
            </w:r>
          </w:p>
        </w:tc>
        <w:tc>
          <w:tcPr>
            <w:tcW w:type="dxa" w:w="3120"/>
            <w:shd w:fill="1E40A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Correo Institucional / Contacto</w:t>
            </w:r>
          </w:p>
        </w:tc>
        <w:tc>
          <w:tcPr>
            <w:tcW w:type="dxa" w:w="3120"/>
            <w:shd w:fill="1E40A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Usuario de GitHub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Aisama, Joel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aisamajoel@gmail.com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@aisamajoel-tech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Navarro, Bautista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bautista.navarro@uch.edu.ar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@BautiNavarro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Aguilar, Candela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candeaguilar@uch.edu.ar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@candeaguilar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Ibáñez, Delfina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delfinaibanez@uch.edu.ar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@delfinaibanez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Fetta, Carolina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carolina.fetta@uch.edu.ar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@gcfetta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E40AF"/>
          <w:sz w:val="30"/>
        </w:rPr>
        <w:t>1. Objetivo y Alcance del Trabajo Práctico</w:t>
      </w:r>
    </w:p>
    <w:p>
      <w:pPr>
        <w:spacing w:after="80" w:line="276" w:lineRule="auto"/>
      </w:pPr>
      <w:r>
        <w:rPr>
          <w:i w:val="0"/>
          <w:sz w:val="20"/>
        </w:rPr>
        <w:t>El presente trabajo aborda la evolución arquitectónica de una API REST monolítica existente hacia una arquitectura basada en microservicios, implementando paralelamente un flujo colaborativo profesional con Git y GitHub. La decisión central adoptada es de naturaleza arquitectónica: no se busca fragmentar el código arbitrariamente en carpetas ni mapear ciegamente cada tabla a un microservicio, sino delimitar componentes autónomos con responsabilidades de negocio bien definidas, alta cohesión y bajo acoplamiento.</w:t>
      </w:r>
    </w:p>
    <w:p>
      <w:pPr>
        <w:pStyle w:val="Heading1"/>
      </w:pPr>
      <w:r>
        <w:rPr>
          <w:rFonts w:ascii="Calibri" w:hAnsi="Calibri"/>
          <w:b/>
          <w:color w:val="1E40AF"/>
          <w:sz w:val="30"/>
        </w:rPr>
        <w:t>2. Preparación del Entorno Colaborativo con Git</w:t>
      </w:r>
    </w:p>
    <w:p>
      <w:pPr>
        <w:spacing w:after="80" w:line="276" w:lineRule="auto"/>
      </w:pPr>
      <w:r>
        <w:rPr>
          <w:i w:val="0"/>
          <w:sz w:val="20"/>
        </w:rPr>
        <w:t>El proyecto se organiza bajo la premisa de Repositorio Único y Evolutivo que dará continuidad a este y a los posteriores trabajos prácticos.</w:t>
      </w:r>
    </w:p>
    <w:p>
      <w:pPr>
        <w:spacing w:after="80" w:line="276" w:lineRule="auto"/>
      </w:pPr>
      <w:r>
        <w:rPr>
          <w:i w:val="0"/>
          <w:sz w:val="20"/>
        </w:rPr>
        <w:t>• Repositorio Remoto Oficial: https://github.com/aisamajoel-tech/Trabajo-Integrador-Programacion-Distribuida-Grupo-1</w:t>
        <w:br/>
        <w:t>• Rama Principal: main (estabilidad y entregas consolidadas).</w:t>
        <w:br/>
        <w:t>• Colaboradores Docentes con acceso completo: alvarezadriel@uch.edu.ar y cortezedgardo@uch.edu.ar.</w:t>
        <w:br/>
        <w:t>• Identificación de Entrega: Etiqueta oficial 'tp5-entrega' aplicada sobre el commit de cierre de etapa.</w:t>
        <w:br/>
        <w:t>• Política .gitignore: Exclusión estricta de dependencias (node_modules/), variables de entorno locales (.env), certificados privados y logs rotativos. Se suministra .env.example debidamente documentado.</w:t>
      </w:r>
    </w:p>
    <w:p>
      <w:pPr>
        <w:pStyle w:val="Heading1"/>
      </w:pPr>
      <w:r>
        <w:rPr>
          <w:rFonts w:ascii="Calibri" w:hAnsi="Calibri"/>
          <w:b/>
          <w:color w:val="1E40AF"/>
          <w:sz w:val="30"/>
        </w:rPr>
        <w:t>3. Inventario de Funcionalidades y Endpoints de la API Existente</w:t>
      </w:r>
    </w:p>
    <w:p>
      <w:pPr>
        <w:spacing w:after="80" w:line="276" w:lineRule="auto"/>
      </w:pPr>
      <w:r>
        <w:rPr>
          <w:i w:val="0"/>
          <w:sz w:val="20"/>
        </w:rPr>
        <w:t>A continuación se presenta el relevamiento técnico detallado de la aplicación base funcional (alojada en /app-base del repositorio):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Funcionalidad / Endpoint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Responsabilidad Actual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Datos Utilizados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Dependencias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/api/libros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Listado general de obras registradas con orden cronológico.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Colección libros de MongoDB (titulo, autor, año, stock, genero, isbn).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Mongoose, MongoDB, Logger Winston.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/api/libros/:id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Consulta individual de un libro mediante su ObjectId.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Parámetro id de ruta; Documento Libro en MongoDB.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Mongoose (validación ObjectId), MongoDB.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/api/libros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Alta de nuevo libro con validaciones de esquema y unicidad de ISBN.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Cuerpo JSON: titulo, autor, año, stock, genero, isbn.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Validador Mongoose, Índice único MongoDB.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PUT /api/libros/:id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Actualización integral de datos bibliográficos y/o stock.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Parámetro id; Campos JSON a modificar.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Mongoose findByIdAndUpdate, MongoDB.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DELETE /api/libros/:id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Eliminación permanente del registro de un libro.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Parámetro id de ruta.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Mongoose findByIdAndDelete, MongoDB.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/api/libros/:id/comprar-inseguro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Simulación de compra sin exclusión mutua para evidenciar condición de carrera (Check-Then-Act).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Parámetro id; Cabecera x-client-id; Campo stock.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Retardo artificial (ARTIFICIAL_DELAY_MS), MongoDB.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/api/libros/:id/comprar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Compra protegida con Exclusión Mutua mediante Lock Distribuido en Redis/Memurai.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Parámetro id; Clave lock:libro:{id} en Redis; Campo stock.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lockService.js (Redis), Scripts Lua, MongoDB.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/api/libros/:id/lock-status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Consulta diagnóstica del estado y TTL del lock en Redis.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Parámetro id; Clave Redis lock:libro:{id}.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Cliente Redis/Memurai.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E40AF"/>
          <w:sz w:val="30"/>
        </w:rPr>
        <w:t>4. Identificación de Responsabilidades del Negocio</w:t>
      </w:r>
    </w:p>
    <w:p>
      <w:pPr>
        <w:spacing w:after="80" w:line="276" w:lineRule="auto"/>
      </w:pPr>
      <w:r>
        <w:rPr>
          <w:i w:val="0"/>
          <w:sz w:val="20"/>
        </w:rPr>
        <w:t>El análisis funcional de la aplicación actual permitió identificar tres grandes grupos de responsabilidades que actualmente conviven acoplados dentro de un único componente:</w:t>
      </w:r>
    </w:p>
    <w:p>
      <w:pPr>
        <w:pStyle w:val="Heading2"/>
      </w:pPr>
      <w:r>
        <w:rPr>
          <w:rFonts w:ascii="Calibri" w:hAnsi="Calibri"/>
          <w:b/>
          <w:color w:val="475569"/>
          <w:sz w:val="25"/>
        </w:rPr>
        <w:t>Grupo Funcional A: Catálogo Bibliográfico</w:t>
      </w:r>
    </w:p>
    <w:p>
      <w:pPr>
        <w:spacing w:after="80" w:line="276" w:lineRule="auto"/>
      </w:pPr>
      <w:r>
        <w:rPr>
          <w:i w:val="0"/>
          <w:sz w:val="20"/>
        </w:rPr>
        <w:t>• Problema que resuelve: Gestión, clasificación y divulgación pública de las obras literarias (títulos, autores, fechas, géneros e ISBN).</w:t>
      </w:r>
    </w:p>
    <w:p>
      <w:pPr>
        <w:spacing w:after="80" w:line="276" w:lineRule="auto"/>
      </w:pPr>
      <w:r>
        <w:rPr>
          <w:i w:val="0"/>
          <w:sz w:val="20"/>
        </w:rPr>
        <w:t>• Operaciones: Búsqueda, filtrado, alta de nuevos títulos, edición de datos editoriales y bajas.</w:t>
      </w:r>
    </w:p>
    <w:p>
      <w:pPr>
        <w:spacing w:after="80" w:line="276" w:lineRule="auto"/>
      </w:pPr>
      <w:r>
        <w:rPr>
          <w:i w:val="0"/>
          <w:sz w:val="20"/>
        </w:rPr>
        <w:t>• Reglas de negocio: Título y autor obligatorios; año válido (1000 a año actual + 1); género restringido a lista controlada; formato ISBN internacional con unicidad estricta.</w:t>
      </w:r>
    </w:p>
    <w:p>
      <w:pPr>
        <w:spacing w:after="80" w:line="276" w:lineRule="auto"/>
      </w:pPr>
      <w:r>
        <w:rPr>
          <w:i w:val="0"/>
          <w:sz w:val="20"/>
        </w:rPr>
        <w:t>• Información administrada: Metadatos bibliográficos de libros. No requiere conocer compradores ni stock físico.</w:t>
      </w:r>
    </w:p>
    <w:p>
      <w:pPr>
        <w:spacing w:after="80" w:line="276" w:lineRule="auto"/>
      </w:pPr>
      <w:r>
        <w:rPr>
          <w:i w:val="0"/>
          <w:sz w:val="20"/>
        </w:rPr>
        <w:t>• Evolución independiente: Total. Las políticas editoriales pueden enriquecerse sin alterar depósitos ni ventas.</w:t>
      </w:r>
    </w:p>
    <w:p>
      <w:pPr>
        <w:pStyle w:val="Heading2"/>
      </w:pPr>
      <w:r>
        <w:rPr>
          <w:rFonts w:ascii="Calibri" w:hAnsi="Calibri"/>
          <w:b/>
          <w:color w:val="475569"/>
          <w:sz w:val="25"/>
        </w:rPr>
        <w:t>Grupo Funcional B: Inventario y Control de Stock</w:t>
      </w:r>
    </w:p>
    <w:p>
      <w:pPr>
        <w:spacing w:after="80" w:line="276" w:lineRule="auto"/>
      </w:pPr>
      <w:r>
        <w:rPr>
          <w:i w:val="0"/>
          <w:sz w:val="20"/>
        </w:rPr>
        <w:t>• Problema que resuelve: Custodia de existencias físicas disponibles para entrega, evitando sobreventas y quiebres de stock bajo alta concurrencia.</w:t>
      </w:r>
    </w:p>
    <w:p>
      <w:pPr>
        <w:spacing w:after="80" w:line="276" w:lineRule="auto"/>
      </w:pPr>
      <w:r>
        <w:rPr>
          <w:i w:val="0"/>
          <w:sz w:val="20"/>
        </w:rPr>
        <w:t>• Operaciones: Consulta de existencias, reserva, deducción atómica de stock y reabastecimiento.</w:t>
      </w:r>
    </w:p>
    <w:p>
      <w:pPr>
        <w:spacing w:after="80" w:line="276" w:lineRule="auto"/>
      </w:pPr>
      <w:r>
        <w:rPr>
          <w:i w:val="0"/>
          <w:sz w:val="20"/>
        </w:rPr>
        <w:t>• Reglas de negocio: Stock mayor o igual a 0 (nunca negativo); exclusión mutua estricta con Redis Distributed Lock (SET NX PX) impidiendo que dos clientes vendan la última unidad; TTL de 5000ms para evitar deadlocks; liberación atómica con script Lua.</w:t>
      </w:r>
    </w:p>
    <w:p>
      <w:pPr>
        <w:spacing w:after="80" w:line="276" w:lineRule="auto"/>
      </w:pPr>
      <w:r>
        <w:rPr>
          <w:i w:val="0"/>
          <w:sz w:val="20"/>
        </w:rPr>
        <w:t>• Información administrada: Saldos numéricos por producto (libroId, stockDisponible). No necesita almacenar datos editoriales.</w:t>
      </w:r>
    </w:p>
    <w:p>
      <w:pPr>
        <w:spacing w:after="80" w:line="276" w:lineRule="auto"/>
      </w:pPr>
      <w:r>
        <w:rPr>
          <w:i w:val="0"/>
          <w:sz w:val="20"/>
        </w:rPr>
        <w:t>• Evolución independiente: Total. Puede incorporar bodegas físicas o almacenes en memoria sin afectar al catálogo.</w:t>
      </w:r>
    </w:p>
    <w:p>
      <w:pPr>
        <w:pStyle w:val="Heading2"/>
      </w:pPr>
      <w:r>
        <w:rPr>
          <w:rFonts w:ascii="Calibri" w:hAnsi="Calibri"/>
          <w:b/>
          <w:color w:val="475569"/>
          <w:sz w:val="25"/>
        </w:rPr>
        <w:t>Grupo Funcional C: Ventas y Gestión de Órdenes</w:t>
      </w:r>
    </w:p>
    <w:p>
      <w:pPr>
        <w:spacing w:after="80" w:line="276" w:lineRule="auto"/>
      </w:pPr>
      <w:r>
        <w:rPr>
          <w:i w:val="0"/>
          <w:sz w:val="20"/>
        </w:rPr>
        <w:t>• Problema que resuelve: Orquestación comercial de la compra, emisión de comprobantes transaccionales y trazabilidad de pedidos.</w:t>
      </w:r>
    </w:p>
    <w:p>
      <w:pPr>
        <w:spacing w:after="80" w:line="276" w:lineRule="auto"/>
      </w:pPr>
      <w:r>
        <w:rPr>
          <w:i w:val="0"/>
          <w:sz w:val="20"/>
        </w:rPr>
        <w:t>• Operaciones: Creación de orden de compra, validación integral con catálogo e inventario, registro de estados y consulta por cliente.</w:t>
      </w:r>
    </w:p>
    <w:p>
      <w:pPr>
        <w:spacing w:after="80" w:line="276" w:lineRule="auto"/>
      </w:pPr>
      <w:r>
        <w:rPr>
          <w:i w:val="0"/>
          <w:sz w:val="20"/>
        </w:rPr>
        <w:t>• Reglas de negocio: Una orden solo se confirma si el libro existe y el stock fue efectivamente descontado bajo exclusión mutua; órdenes inmutables para auditoría.</w:t>
      </w:r>
    </w:p>
    <w:p>
      <w:pPr>
        <w:spacing w:after="80" w:line="276" w:lineRule="auto"/>
      </w:pPr>
      <w:r>
        <w:rPr>
          <w:i w:val="0"/>
          <w:sz w:val="20"/>
        </w:rPr>
        <w:t>• Información administrada: Colección de órdenes (ordenId, clienteId, libroId, cantidad, estado, timestamp).</w:t>
      </w:r>
    </w:p>
    <w:p>
      <w:pPr>
        <w:spacing w:after="80" w:line="276" w:lineRule="auto"/>
      </w:pPr>
      <w:r>
        <w:rPr>
          <w:i w:val="0"/>
          <w:sz w:val="20"/>
        </w:rPr>
        <w:t>• Evolución independiente: Total. Puede sumar pasarelas de pago o facturación electrónica de manera desacoplada.</w:t>
      </w:r>
    </w:p>
    <w:p>
      <w:pPr>
        <w:pStyle w:val="Heading1"/>
      </w:pPr>
      <w:r>
        <w:rPr>
          <w:rFonts w:ascii="Calibri" w:hAnsi="Calibri"/>
          <w:b/>
          <w:color w:val="1E40AF"/>
          <w:sz w:val="30"/>
        </w:rPr>
        <w:t>5. Identificación de Acoplamientos en la Aplicación Actual</w:t>
      </w:r>
    </w:p>
    <w:p>
      <w:pPr>
        <w:spacing w:after="80" w:line="276" w:lineRule="auto"/>
      </w:pPr>
      <w:r>
        <w:rPr>
          <w:i w:val="0"/>
          <w:sz w:val="20"/>
        </w:rPr>
        <w:t>Se documentan tres casos concretos de acoplamiento identificados en el monolito existente: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Acoplamiento Detectado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Problema Generado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Propuesta de Desacople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Acoplamiento de Esquema de Datos (Catálogo e Inventario juntos en Libro.js).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Actualizar metadatos editoriales compite por el mismo registro con una compra de stock. Dificulta escalar o cambiar el motor de inventario.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Separación en dos servicios y bases independientes: catalog-service custodia metadatos bibliográficos e inventory-service gestiona existencias.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Ausencia del Dominio de Órdenes y Venta Invasiva sobre el Libro.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El endpoint /comprar muta directamente el campo stock del libro. No queda historial de pedidos, clientes ni comprobantes comerciales.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Creación de orders-service: la orden pasa a ser una entidad de primer orden que orquesta la compra de manera inmutable.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Acoplamiento de Infraestructura y Ciclo de Vida (Redis y Mongo en un solo proceso).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 Redis se interrumpe temporalmente, una simple lectura del catálogo público de libros (GET /libros) arroja error 500 y degrada todo el sistema.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Aislamiento de infraestructura: Redis queda confinado exclusivamente al interior de inventory-service; catalog-service opera de forma 100% autónoma.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E40AF"/>
          <w:sz w:val="30"/>
        </w:rPr>
        <w:t>6. Propuesta de Arquitectura de Microservicios</w:t>
      </w:r>
    </w:p>
    <w:p>
      <w:pPr>
        <w:spacing w:after="80" w:line="276" w:lineRule="auto"/>
      </w:pPr>
      <w:r>
        <w:rPr>
          <w:i w:val="0"/>
          <w:sz w:val="20"/>
        </w:rPr>
        <w:t>Se propone una arquitectura compuesta por 3 microservicios autónomos basados en el patrón Database-per-Service:</w:t>
      </w:r>
    </w:p>
    <w:p>
      <w:pPr>
        <w:pStyle w:val="Heading2"/>
      </w:pPr>
      <w:r>
        <w:rPr>
          <w:rFonts w:ascii="Calibri" w:hAnsi="Calibri"/>
          <w:b/>
          <w:color w:val="475569"/>
          <w:sz w:val="25"/>
        </w:rPr>
        <w:t>Ficha Técnica N° 1: catalog-service (Catálogo)</w:t>
      </w:r>
    </w:p>
    <w:p>
      <w:pPr>
        <w:spacing w:after="80" w:line="276" w:lineRule="auto"/>
      </w:pPr>
      <w:r>
        <w:rPr>
          <w:i w:val="0"/>
          <w:sz w:val="20"/>
        </w:rPr>
        <w:t>• Nombre: catalog-service (Puerto 3001)</w:t>
        <w:br/>
        <w:t>• Responsabilidad Principal: Gestionar los metadatos bibliográficos de las obras literarias.</w:t>
        <w:br/>
        <w:t>• Operaciones: GET /api/libros, GET /api/libros/:id, POST /api/libros, PUT /api/libros/:id, DELETE /api/libros/:id.</w:t>
        <w:br/>
        <w:t>• Reglas de Negocio: Validaciones de título, autor, año, género e ISBN único.</w:t>
        <w:br/>
        <w:t>• Datos Propios: Base de datos MongoDB 'db_catalog' (colección libros sin campo stock).</w:t>
        <w:br/>
        <w:t>• Dependencias: Ninguna (servicio base autónomo).</w:t>
        <w:br/>
        <w:t>• Fuera de Alcance: No maneja stock ni compras.</w:t>
        <w:br/>
        <w:t>• Justificación: Maximiza la disponibilidad de consultas y elimina la contención en base de datos.</w:t>
      </w:r>
    </w:p>
    <w:p>
      <w:pPr>
        <w:pStyle w:val="Heading2"/>
      </w:pPr>
      <w:r>
        <w:rPr>
          <w:rFonts w:ascii="Calibri" w:hAnsi="Calibri"/>
          <w:b/>
          <w:color w:val="475569"/>
          <w:sz w:val="25"/>
        </w:rPr>
        <w:t>Ficha Técnica N° 2: inventory-service (Inventario)</w:t>
      </w:r>
    </w:p>
    <w:p>
      <w:pPr>
        <w:spacing w:after="80" w:line="276" w:lineRule="auto"/>
      </w:pPr>
      <w:r>
        <w:rPr>
          <w:i w:val="0"/>
          <w:sz w:val="20"/>
        </w:rPr>
        <w:t>• Nombre: inventory-service (Puerto 3002)</w:t>
        <w:br/>
        <w:t>• Responsabilidad Principal: Custodiar existencias de stock y garantizar exclusión mutua distribuida.</w:t>
        <w:br/>
        <w:t>• Operaciones: GET /api/inventario/:libroId, POST /api/inventario/:libroId/descontar, POST /api/inventario/:libroId/reponer.</w:t>
        <w:br/>
        <w:t>• Reglas de Negocio: Stock no negativo; Redis Distributed Lock (SET NX PX) con TTL 5000ms; respuesta 409 Conflict si el lock está retenido.</w:t>
        <w:br/>
        <w:t>• Datos Propios: Base de datos MongoDB 'db_inventory' (colección stock) + Claves Redis lock:libro:{id}.</w:t>
        <w:br/>
        <w:t>• Dependencias: Redis/Memurai para la coordinación distribuida.</w:t>
        <w:br/>
        <w:t>• Fuera de Alcance: No almacena autores ni títulos; no emite pedidos.</w:t>
        <w:br/>
        <w:t>• Justificación: Aísla la complejidad de concurrencia y evita que fallos en Redis afecten al resto del sistema.</w:t>
      </w:r>
    </w:p>
    <w:p>
      <w:pPr>
        <w:pStyle w:val="Heading2"/>
      </w:pPr>
      <w:r>
        <w:rPr>
          <w:rFonts w:ascii="Calibri" w:hAnsi="Calibri"/>
          <w:b/>
          <w:color w:val="475569"/>
          <w:sz w:val="25"/>
        </w:rPr>
        <w:t>Ficha Técnica N° 3: orders-service (Ventas / Órdenes)</w:t>
      </w:r>
    </w:p>
    <w:p>
      <w:pPr>
        <w:spacing w:after="80" w:line="276" w:lineRule="auto"/>
      </w:pPr>
      <w:r>
        <w:rPr>
          <w:i w:val="0"/>
          <w:sz w:val="20"/>
        </w:rPr>
        <w:t>• Nombre: orders-service (Puerto 3003)</w:t>
        <w:br/>
        <w:t>• Responsabilidad Principal: Orquestar el flujo de compras y emitir comprobantes inmutables de venta.</w:t>
        <w:br/>
        <w:t>• Operaciones: POST /api/ordenes (crear compra), GET /api/ordenes/:id, GET /api/ordenes/cliente/:clienteId.</w:t>
        <w:br/>
        <w:t>• Reglas de Negocio: La orden solo se confirma si el libro existe (en catálogo) y el stock fue reservado con lock (en inventario).</w:t>
        <w:br/>
        <w:t>• Datos Propios: Base de datos MongoDB 'db_orders' (colección ordenes).</w:t>
        <w:br/>
        <w:t>• Dependencias: Invoca vía HTTP a catalog-service (GET /libros/:id) e inventory-service (POST /inventario/:id/descontar).</w:t>
        <w:br/>
        <w:t>• Fuera de Alcance: No descuenta stock directamente ni administra fichas de libros.</w:t>
        <w:br/>
        <w:t>• Justificación: Brinda trazabilidad y auditoría comercial independiente.</w:t>
      </w:r>
    </w:p>
    <w:p>
      <w:pPr>
        <w:pStyle w:val="Heading1"/>
      </w:pPr>
      <w:r>
        <w:rPr>
          <w:rFonts w:ascii="Calibri" w:hAnsi="Calibri"/>
          <w:b/>
          <w:color w:val="1E40AF"/>
          <w:sz w:val="30"/>
        </w:rPr>
        <w:t>7. Matriz de Propiedad y Acceso a los Datos (Data Ownership)</w:t>
      </w:r>
    </w:p>
    <w:p>
      <w:pPr>
        <w:spacing w:after="80" w:line="276" w:lineRule="auto"/>
      </w:pPr>
      <w:r>
        <w:rPr>
          <w:i w:val="0"/>
          <w:sz w:val="20"/>
        </w:rPr>
        <w:t>Cada microservicio es propietario exclusivo de su almacenamiento físico o lógico, prohibiendo terminantemente el acceso directo a bases de datos ajenas: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Dato / Recurso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Servicio Propietario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Quién Consulta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Quién Modifica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Forma de Acceso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Metadatos de Libros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catalog-service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orders-service y Clientes.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Únicamente catalog-service.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 REST: GET /api/libros/:id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Existencias de Stock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inventory-service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orders-service y Clientes.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Exclusivamente inventory-service.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 REST: POST /api/inventario/:id/descontar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Locks Distribuidos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inventory-service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inventory-service (diagnóstico).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Exclusivamente inventory-service.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Cliente Redis nativo (script Lua atómico)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Órdenes de Compra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orders-service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Clientes y Auditoría.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Únicamente orders-service.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 REST: GET /api/ordenes/:id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E40AF"/>
          <w:sz w:val="30"/>
        </w:rPr>
        <w:t>8. Comunicación entre Microservicios y Trazado de Casos de Uso</w:t>
      </w:r>
    </w:p>
    <w:p>
      <w:pPr>
        <w:spacing w:after="80" w:line="276" w:lineRule="auto"/>
      </w:pPr>
      <w:r>
        <w:rPr>
          <w:i w:val="0"/>
          <w:sz w:val="20"/>
        </w:rPr>
        <w:t>Las interacciones entre microservicios son síncronas mediante HTTP/REST con cargas en formato JSON:</w:t>
      </w:r>
    </w:p>
    <w:p>
      <w:pPr>
        <w:spacing w:after="80" w:line="276" w:lineRule="auto"/>
      </w:pPr>
      <w:r>
        <w:rPr>
          <w:i w:val="0"/>
          <w:sz w:val="20"/>
        </w:rPr>
        <w:t>• Origen: orders-service → Destino: catalog-service | Necesidad: Verificar existencia | Endpoint: GET /api/libros/:id | Respuesta: 200 OK con datos o 404 Not Found.</w:t>
      </w:r>
    </w:p>
    <w:p>
      <w:pPr>
        <w:spacing w:after="80" w:line="276" w:lineRule="auto"/>
      </w:pPr>
      <w:r>
        <w:rPr>
          <w:i w:val="0"/>
          <w:sz w:val="20"/>
        </w:rPr>
        <w:t>• Origen: orders-service → Destino: inventory-service | Necesidad: Descontar stock con lock | Endpoint: POST /api/inventario/:libroId/descontar | Respuesta: 200 OK (descontado), 400 Bad Request (sin stock) o 409 Conflict (lock ocupado).</w:t>
      </w:r>
    </w:p>
    <w:p>
      <w:pPr>
        <w:spacing w:after="80" w:line="276" w:lineRule="auto"/>
      </w:pPr>
      <w:r>
        <w:rPr>
          <w:i w:val="0"/>
          <w:sz w:val="20"/>
        </w:rPr>
        <w:t>• Resiliencia ante fallos: Si inventory-service o catalog-service caen, orders-service captura el timeout y responde HTTP 503 Service Unavailable, abortando la compra limpiamente sin dejar inconsistencias.</w:t>
      </w:r>
    </w:p>
    <w:p>
      <w:pPr>
        <w:pStyle w:val="Heading2"/>
      </w:pPr>
      <w:r>
        <w:rPr>
          <w:rFonts w:ascii="Calibri" w:hAnsi="Calibri"/>
          <w:b/>
          <w:color w:val="475569"/>
          <w:sz w:val="25"/>
        </w:rPr>
        <w:t>Trazado del Caso de Uso Principal (Proceso de Compra Concurrente):</w:t>
      </w:r>
    </w:p>
    <w:p>
      <w:pPr>
        <w:spacing w:after="80" w:line="276" w:lineRule="auto"/>
      </w:pPr>
      <w:r>
        <w:rPr>
          <w:i w:val="0"/>
          <w:sz w:val="20"/>
        </w:rPr>
        <w:t>1. El Cliente envía 'POST /api/ordenes' a orders-service indicando { libroId, cantidad: 1, clienteId }.</w:t>
        <w:br/>
        <w:t>2. orders-service consulta 'GET /api/libros/:id' a catalog-service para validar que el libro existe.</w:t>
        <w:br/>
        <w:t>3. catalog-service responde 200 OK confirmando la obra.</w:t>
        <w:br/>
        <w:t>4. orders-service invoca 'POST /api/inventario/:libroId/descontar' a inventory-service.</w:t>
        <w:br/>
        <w:t>5. inventory-service intenta adquirir el lock en Redis (SET lock:libro:{id} {token} NX PX 5000).</w:t>
        <w:br/>
        <w:t xml:space="preserve">   - Si el lock está libre: adquiere exclusión mutua, descuenta el stock en MongoDB, libera el lock con script Lua y responde 200 OK.</w:t>
        <w:br/>
        <w:t xml:space="preserve">   - Si el lock está ocupado por otra compra concurrente: responde inmediatamente HTTP 409 Conflict.</w:t>
        <w:br/>
        <w:t>6. orders-service persiste la orden como 'CONFIRMADA' (si hubo 200 OK) o 'RECHAZADA_POR_CONCURRENCIA' (si hubo 409 Conflict) y responde al cliente con el comprobante correspondiente.</w:t>
      </w:r>
    </w:p>
    <w:p>
      <w:pPr>
        <w:pStyle w:val="Heading1"/>
      </w:pPr>
      <w:r>
        <w:rPr>
          <w:rFonts w:ascii="Calibri" w:hAnsi="Calibri"/>
          <w:b/>
          <w:color w:val="1E40AF"/>
          <w:sz w:val="30"/>
        </w:rPr>
        <w:t>9. Diagrama de la Arquitectura Propuesta</w:t>
      </w:r>
    </w:p>
    <w:p>
      <w:pPr>
        <w:spacing w:after="80" w:line="276" w:lineRule="auto"/>
      </w:pPr>
      <w:r>
        <w:rPr>
          <w:i w:val="0"/>
          <w:sz w:val="20"/>
        </w:rPr>
        <w:t>La arquitectura distribuida desacoplada se representa a continuación: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sz w:val="17"/>
              </w:rPr>
              <w:t xml:space="preserve">                [ CLIENTE / POSTMAN ]</w:t>
              <w:br/>
              <w:t xml:space="preserve">                          │</w:t>
              <w:br/>
              <w:t xml:space="preserve">                          │ HTTP POST /api/ordenes</w:t>
              <w:br/>
              <w:t xml:space="preserve">                          ▼</w:t>
              <w:br/>
              <w:t xml:space="preserve">            ┌───────────────────────────┐</w:t>
              <w:br/>
              <w:t xml:space="preserve">            │      orders-service       │ (Puerto: 3003)</w:t>
              <w:br/>
              <w:t xml:space="preserve">            │  Orquestación de Compras  │</w:t>
              <w:br/>
              <w:t xml:space="preserve">            │  Base: db_orders (Mongo)  │</w:t>
              <w:br/>
              <w:t xml:space="preserve">            └─────────────┬─────────────┘</w:t>
              <w:br/>
              <w:t xml:space="preserve">                          │</w:t>
              <w:br/>
              <w:t xml:space="preserve">           ┌──────────────┴──────────────┐</w:t>
              <w:br/>
              <w:t xml:space="preserve">      HTTP │                        HTTP │</w:t>
              <w:br/>
              <w:t xml:space="preserve">           ▼                             ▼</w:t>
              <w:br/>
              <w:t>┌─────────────────────┐       ┌───────────────────────────────┐</w:t>
              <w:br/>
              <w:t>│   catalog-service   │       │       inventory-service       │</w:t>
              <w:br/>
              <w:t>│ Catálogo de Libros  │       │   Control de Stock y Locks    │</w:t>
              <w:br/>
              <w:t>│ Puerto: 3001        │       │ Puerto: 3002                  │</w:t>
              <w:br/>
              <w:t>│ Base: db_catalog    │       │ Base: db_inventory (Mongo)    │</w:t>
              <w:br/>
              <w:t>└─────────────────────┘       │ Redis: lock:libro:{id} (TTL)  │</w:t>
              <w:br/>
              <w:t xml:space="preserve">                              └───────────────────────────────┘</w:t>
              <w:br/>
            </w:r>
          </w:p>
        </w:tc>
      </w:tr>
    </w:tbl>
    <w:p>
      <w:pPr>
        <w:spacing w:after="80" w:line="276" w:lineRule="auto"/>
      </w:pPr>
      <w:r>
        <w:rPr>
          <w:i/>
          <w:sz w:val="20"/>
        </w:rPr>
        <w:t>Nota: El código fuente en formato Mermaid editable se encuentra disponible en docs/diagrama-arquitectura.mermaid dentro del repositorio.</w:t>
      </w:r>
    </w:p>
    <w:p>
      <w:pPr>
        <w:pStyle w:val="Heading1"/>
      </w:pPr>
      <w:r>
        <w:rPr>
          <w:rFonts w:ascii="Calibri" w:hAnsi="Calibri"/>
          <w:b/>
          <w:color w:val="1E40AF"/>
          <w:sz w:val="30"/>
        </w:rPr>
        <w:t>10. Checklist de Validación de Límites Arquitectónicos (Sección 12)</w:t>
      </w:r>
    </w:p>
    <w:p>
      <w:pPr>
        <w:spacing w:after="80" w:line="276" w:lineRule="auto"/>
      </w:pPr>
      <w:r>
        <w:rPr>
          <w:i w:val="0"/>
          <w:sz w:val="20"/>
        </w:rPr>
        <w:t>Se verifican positivamente los 9 criterios exigidos por las consignas de la cátedra:</w:t>
      </w:r>
    </w:p>
    <w:p>
      <w:pPr>
        <w:spacing w:after="80" w:line="276" w:lineRule="auto"/>
      </w:pPr>
      <w:r>
        <w:rPr>
          <w:i w:val="0"/>
          <w:sz w:val="20"/>
        </w:rPr>
        <w:t>[X] Puede explicarse su responsabilidad principal en una frase clara: Cada servicio posee un fin elemental y no ambiguo.</w:t>
      </w:r>
    </w:p>
    <w:p>
      <w:pPr>
        <w:spacing w:after="80" w:line="276" w:lineRule="auto"/>
      </w:pPr>
      <w:r>
        <w:rPr>
          <w:i w:val="0"/>
          <w:sz w:val="20"/>
        </w:rPr>
        <w:t>[X] Agrupa reglas de negocio relacionadas entre sí: Validaciones editoriales en catálogo, exclusión mutua en inventario y reglas comerciales en órdenes.</w:t>
      </w:r>
    </w:p>
    <w:p>
      <w:pPr>
        <w:spacing w:after="80" w:line="276" w:lineRule="auto"/>
      </w:pPr>
      <w:r>
        <w:rPr>
          <w:i w:val="0"/>
          <w:sz w:val="20"/>
        </w:rPr>
        <w:t>[X] Posee un conjunto de datos o decisiones sobre los cuales es responsable: Cada uno tiene su base de datos propia e independiente.</w:t>
      </w:r>
    </w:p>
    <w:p>
      <w:pPr>
        <w:spacing w:after="80" w:line="276" w:lineRule="auto"/>
      </w:pPr>
      <w:r>
        <w:rPr>
          <w:i w:val="0"/>
          <w:sz w:val="20"/>
        </w:rPr>
        <w:t>[X] No fue creado únicamente porque existe una tabla con ese nombre: La división responde a dominios funcionales (Catálogo vs Existencias vs Ventas).</w:t>
      </w:r>
    </w:p>
    <w:p>
      <w:pPr>
        <w:spacing w:after="80" w:line="276" w:lineRule="auto"/>
      </w:pPr>
      <w:r>
        <w:rPr>
          <w:i w:val="0"/>
          <w:sz w:val="20"/>
        </w:rPr>
        <w:t>[X] Su interfaz pública puede definirse sin exponer detalles internos: Exponen contratos DTO limpios en JSON sin revelar Mongoose o Redis.</w:t>
      </w:r>
    </w:p>
    <w:p>
      <w:pPr>
        <w:spacing w:after="80" w:line="276" w:lineRule="auto"/>
      </w:pPr>
      <w:r>
        <w:rPr>
          <w:i w:val="0"/>
          <w:sz w:val="20"/>
        </w:rPr>
        <w:t>[X] Puede modificarse internamente sin exigir cambios simultáneos en todos los demás servicios: Cambios en el motor de locks no impactan en catálogo ni órdenes.</w:t>
      </w:r>
    </w:p>
    <w:p>
      <w:pPr>
        <w:spacing w:after="80" w:line="276" w:lineRule="auto"/>
      </w:pPr>
      <w:r>
        <w:rPr>
          <w:i w:val="0"/>
          <w:sz w:val="20"/>
        </w:rPr>
        <w:t>[X] No duplica reglas de negocio cuya autoridad pertenece a otro servicio: La autoridad de stock es exclusiva de inventory-service.</w:t>
      </w:r>
    </w:p>
    <w:p>
      <w:pPr>
        <w:spacing w:after="80" w:line="276" w:lineRule="auto"/>
      </w:pPr>
      <w:r>
        <w:rPr>
          <w:i w:val="0"/>
          <w:sz w:val="20"/>
        </w:rPr>
        <w:t>[X] Las dependencias con otros servicios son necesarias y están justificadas: Dependencias unidireccionales orquestadas desde órdenes.</w:t>
      </w:r>
    </w:p>
    <w:p>
      <w:pPr>
        <w:spacing w:after="80" w:line="276" w:lineRule="auto"/>
      </w:pPr>
      <w:r>
        <w:rPr>
          <w:i w:val="0"/>
          <w:sz w:val="20"/>
        </w:rPr>
        <w:t>[X] El grupo puede explicar qué responsabilidades quedan explícitamente fuera del servicio: Claramente explicitado en cada ficha técnica.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