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v1.4.0</w:t>
      </w:r>
    </w:p>
    <w:p w14:paraId="47774AFA" w14:textId="77777777" w:rsidR="00C826FF" w:rsidRDefault="00000000">
      <w:r>
        <w:rPr>
          <w:color w:val="595757"/>
        </w:rPr>
        <w:t>Fecha: 30/07/2026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310404" w:history="1">
        <w:r w:rsidR="00A964C3" w:rsidRPr="007B02ED">
          <w:rPr>
            <w:rStyle w:val="Hipervnculo"/>
          </w:rPr>
          <w:t>1.</w:t>
        </w:r>
        <w:r w:rsidR="00A964C3"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="00A964C3" w:rsidRPr="007B02ED">
          <w:rPr>
            <w:rStyle w:val="Hipervnculo"/>
          </w:rPr>
          <w:t>¿Qué es este plugin?</w:t>
        </w:r>
        <w:r w:rsidR="00A964C3">
          <w:rPr>
            <w:webHidden/>
          </w:rPr>
          <w:tab/>
        </w:r>
        <w:r w:rsidR="00A964C3">
          <w:rPr>
            <w:webHidden/>
          </w:rPr>
          <w:fldChar w:fldCharType="begin"/>
        </w:r>
        <w:r w:rsidR="00A964C3">
          <w:rPr>
            <w:webHidden/>
          </w:rPr>
          <w:instrText xml:space="preserve"> PAGEREF _Toc236310404 \h </w:instrText>
        </w:r>
        <w:r w:rsidR="00A964C3">
          <w:rPr>
            <w:webHidden/>
          </w:rPr>
        </w:r>
        <w:r w:rsidR="00A964C3">
          <w:rPr>
            <w:webHidden/>
          </w:rPr>
          <w:fldChar w:fldCharType="separate"/>
        </w:r>
        <w:r w:rsidR="00A964C3">
          <w:rPr>
            <w:webHidden/>
          </w:rPr>
          <w:t>5</w:t>
        </w:r>
        <w:r w:rsidR="00A964C3">
          <w:rPr>
            <w:webHidden/>
          </w:rPr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 w:rsidRPr="007B02ED"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 w:rsidRPr="007B02ED"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Prerrequisitos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 w:rsidRPr="007B02ED"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Instalación desde Git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 w:rsidRPr="007B02ED"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 w:rsidRPr="007B02ED"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 w:rsidRPr="007B02ED"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Paso 3 — Verificar la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 w:rsidRPr="007B02ED"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 w:rsidRPr="007B02ED"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Comandos disponibles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 w:rsidRPr="007B02ED"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 w:rsidRPr="007B02ED"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 w:rsidRPr="007B02ED"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 w:rsidRPr="007B02ED"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 w:rsidRPr="007B02ED"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 w:rsidRPr="007B02ED"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 w:rsidRPr="007B02ED"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 w:rsidRPr="007B02ED"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 w:rsidRPr="007B02ED"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 w:rsidRPr="007B02ED"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Servidor MCP — orchestrator-workspace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 w:rsidRPr="007B02ED"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 w:rsidRPr="007B02ED"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Arquitectura ScacsWeb asumida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 w:rsidRPr="007B02ED"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 w:rsidRPr="007B02ED"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 w:rsidRPr="007B02ED"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Flujo de trabajo típico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 w:rsidRPr="007B02ED"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Preguntas frecuentes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 w:rsidRPr="007B02ED"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 w:rsidRPr="007B02ED"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 w:rsidRPr="007B02ED"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_Toc236310431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 w:rsidRPr="007B02ED"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 w:rsidRPr="007B02ED">
          <w:rPr>
            <w:rStyle w:val="Hipervnculo"/>
          </w:rPr>
          <w:t>Soporte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_Toc236310432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es este plugin?</w:t>
      </w:r>
      <w:bookmarkEnd w:id="1"/>
    </w:p>
    <w:p w14:paraId="07305DC3" w14:textId="77777777" w:rsidR="00C826FF" w:rsidRDefault="00000000">
      <w:r>
        <w:t>El plugin Orchestrator Skill Full extiende Claude Code con 41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2448DEB8" w14:textId="77777777" w:rsidR="00C826FF" w:rsidRDefault="00000000">
      <w:pPr>
        <w:pStyle w:val="Ttulo2"/>
      </w:pPr>
      <w:bookmarkStart w:id="7" w:name="_Toc236310410"/>
      <w:r>
        <w:t>Paso 3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41 comandos de barra agrupados por categoría. Todos siguen el patrón /</w:t>
      </w:r>
      <w:proofErr w:type="spellStart"/>
      <w:r>
        <w:t>orchestrator</w:t>
      </w:r>
      <w:proofErr w:type="spellEnd"/>
      <w:r>
        <w:t>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devuelve errores/warnings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</w:t>
      </w:r>
      <w:proofErr w:type="spellStart"/>
      <w:r>
        <w:t>orchestrator</w:t>
      </w:r>
      <w:proofErr w:type="spellEnd"/>
      <w:r>
        <w:t>-mantis).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v1.4.0 (2026-07-30)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