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b/>
          <w:sz w:val="52"/>
          <w:rtl w:val="1"/>
          <w:lang w:val="he-IL" w:bidi="he-IL"/>
        </w:rPr>
        <w:t>עבודת גמר בקו״ס</w:t>
      </w:r>
    </w:p>
    <w:p>
      <w:pPr>
        <w:jc w:val="center"/>
        <w:bidi w:val="1"/>
      </w:pPr>
      <w:r>
        <w:rPr>
          <w:b/>
          <w:sz w:val="36"/>
          <w:rtl w:val="1"/>
          <w:lang w:val="he-IL" w:bidi="he-IL"/>
        </w:rPr>
        <w:t>זהות הלניסטית מול זהות יהודית</w:t>
        <w:br/>
        <w:t>והקבוצות היהודיות בימי בית המקדש השני</w:t>
      </w:r>
    </w:p>
    <w:p>
      <w:pPr>
        <w:jc w:val="center"/>
        <w:bidi w:val="1"/>
      </w:pPr>
      <w:r>
        <w:rPr>
          <w:sz w:val="30"/>
          <w:rtl w:val="1"/>
          <w:lang w:val="he-IL" w:bidi="he-IL"/>
        </w:rPr>
        <w:t>מבוא היסטורי ומחזה</w:t>
      </w:r>
    </w:p>
    <w:p/>
    <w:p/>
    <w:p/>
    <w:p/>
    <w:p/>
    <w:p/>
    <w:p/>
    <w:tbl>
      <w:tblPr>
        <w:tblW w:type="auto" w:w="0"/>
        <w:jc w:val="center"/>
        <w:tblLayout w:type="fixed"/>
        <w:tblLook w:firstColumn="1" w:firstRow="1" w:lastColumn="0" w:lastRow="0" w:noHBand="0" w:noVBand="1" w:val="04A0"/>
      </w:tblPr>
      <w:tblGrid>
        <w:gridCol w:w="4816"/>
        <w:gridCol w:w="4816"/>
      </w:tblGrid>
      <w:tr>
        <w:tc>
          <w:tcPr>
            <w:tcW w:type="dxa" w:w="2835"/>
            <w:vAlign w:val="center"/>
          </w:tcPr>
          <w:p>
            <w:pPr>
              <w:jc w:val="right"/>
              <w:bidi w:val="1"/>
            </w:pPr>
            <w:r>
              <w:rPr>
                <w:rtl w:val="1"/>
                <w:lang w:val="he-IL" w:bidi="he-IL"/>
              </w:rPr>
              <w:t>ארסני פרל</w:t>
            </w:r>
          </w:p>
        </w:tc>
        <w:tc>
          <w:tcPr>
            <w:tcW w:type="dxa" w:w="4535"/>
            <w:vAlign w:val="center"/>
            <w:shd w:fill="E9EEF6"/>
          </w:tcPr>
          <w:p>
            <w:pPr>
              <w:jc w:val="right"/>
              <w:bidi w:val="1"/>
            </w:pPr>
            <w:r>
              <w:rPr>
                <w:b/>
                <w:rtl w:val="1"/>
                <w:lang w:val="he-IL" w:bidi="he-IL"/>
              </w:rPr>
              <w:t>שם התלמיד:</w:t>
            </w:r>
          </w:p>
        </w:tc>
      </w:tr>
      <w:tr>
        <w:tc>
          <w:tcPr>
            <w:tcW w:type="dxa" w:w="2835"/>
            <w:vAlign w:val="center"/>
          </w:tcPr>
          <w:p>
            <w:pPr>
              <w:jc w:val="right"/>
              <w:bidi w:val="1"/>
            </w:pPr>
            <w:r>
              <w:rPr>
                <w:rtl w:val="1"/>
                <w:lang w:val="he-IL" w:bidi="he-IL"/>
              </w:rPr>
              <w:t>קו״ס</w:t>
            </w:r>
          </w:p>
        </w:tc>
        <w:tc>
          <w:tcPr>
            <w:tcW w:type="dxa" w:w="4535"/>
            <w:vAlign w:val="center"/>
            <w:shd w:fill="E9EEF6"/>
          </w:tcPr>
          <w:p>
            <w:pPr>
              <w:jc w:val="right"/>
              <w:bidi w:val="1"/>
            </w:pPr>
            <w:r>
              <w:rPr>
                <w:b/>
                <w:rtl w:val="1"/>
                <w:lang w:val="he-IL" w:bidi="he-IL"/>
              </w:rPr>
              <w:t>שם הקורס:</w:t>
            </w:r>
          </w:p>
        </w:tc>
      </w:tr>
      <w:tr>
        <w:tc>
          <w:tcPr>
            <w:tcW w:type="dxa" w:w="2835"/>
            <w:vAlign w:val="center"/>
          </w:tcPr>
          <w:p>
            <w:pPr>
              <w:jc w:val="right"/>
              <w:bidi w:val="1"/>
            </w:pPr>
            <w:r>
              <w:rPr>
                <w:rtl w:val="1"/>
                <w:lang w:val="he-IL" w:bidi="he-IL"/>
              </w:rPr>
              <w:t>גרסת עבודה מתעדכנת</w:t>
            </w:r>
          </w:p>
        </w:tc>
        <w:tc>
          <w:tcPr>
            <w:tcW w:type="dxa" w:w="4535"/>
            <w:vAlign w:val="center"/>
            <w:shd w:fill="E9EEF6"/>
          </w:tcPr>
          <w:p>
            <w:pPr>
              <w:jc w:val="right"/>
              <w:bidi w:val="1"/>
            </w:pPr>
            <w:r>
              <w:rPr>
                <w:b/>
                <w:rtl w:val="1"/>
                <w:lang w:val="he-IL" w:bidi="he-IL"/>
              </w:rPr>
              <w:t>מצב המסמך:</w:t>
            </w:r>
          </w:p>
        </w:tc>
      </w:tr>
    </w:tbl>
    <w:p>
      <w:pPr>
        <w:jc w:val="center"/>
      </w:pPr>
      <w:r>
        <w:rPr>
          <w:sz w:val="24"/>
        </w:rPr>
        <w:t>2026</w:t>
      </w:r>
    </w:p>
    <w:p>
      <w:r>
        <w:br w:type="page"/>
      </w:r>
    </w:p>
    <w:p>
      <w:pPr>
        <w:jc w:val="right"/>
        <w:bidi w:val="1"/>
      </w:pPr>
      <w:r>
        <w:rPr>
          <w:b/>
          <w:sz w:val="30"/>
          <w:rtl w:val="1"/>
          <w:lang w:val="he-IL" w:bidi="he-IL"/>
        </w:rPr>
        <w:t>הערה על גרסת העבודה</w:t>
      </w:r>
    </w:p>
    <w:p>
      <w:pPr>
        <w:pStyle w:val="HebrewBody"/>
        <w:jc w:val="both"/>
        <w:bidi w:val="1"/>
      </w:pPr>
      <w:r>
        <w:rPr>
          <w:rtl w:val="1"/>
          <w:lang w:val="he-IL" w:bidi="he-IL"/>
        </w:rPr>
        <w:t>המסמך נבנה בהדרגה. בכל שלב יתווספו אליו פרקים חדשים, ולאחר מכן ייעשה תיקון כללי של העובדות, השפה והמבנה. התרגום לרוסית נועד לעבודה בלבד ולא ייכלל בהכרח בגרסה הסופית להגשה.</w:t>
      </w:r>
    </w:p>
    <w:p>
      <w:pPr>
        <w:jc w:val="left"/>
        <w:bidi w:val="0"/>
      </w:pPr>
      <w:r>
        <w:rPr>
          <w:b/>
          <w:sz w:val="30"/>
          <w:lang w:val="ru-RU"/>
        </w:rPr>
        <w:t>Примечание к рабочей версии</w:t>
      </w:r>
    </w:p>
    <w:p>
      <w:pPr>
        <w:pStyle w:val="RussianBody"/>
        <w:jc w:val="both"/>
        <w:bidi w:val="0"/>
      </w:pPr>
      <w:r>
        <w:rPr>
          <w:lang w:val="ru-RU"/>
        </w:rPr>
        <w:t>Документ собирается постепенно. На каждом этапе в него будут добавляться новые главы, после чего будет проведена общая проверка фактов, языка и структуры. Русский перевод предназначен для работы и необязательно войдет в окончательную версию для сдачи.</w:t>
      </w:r>
    </w:p>
    <w:p/>
    <w:p>
      <w:pPr>
        <w:jc w:val="right"/>
        <w:bidi w:val="1"/>
      </w:pPr>
      <w:r>
        <w:rPr>
          <w:b/>
          <w:sz w:val="34"/>
          <w:rtl w:val="1"/>
          <w:lang w:val="he-IL" w:bidi="he-IL"/>
        </w:rPr>
        <w:t>תוכן עניינים זמני</w:t>
      </w:r>
    </w:p>
    <w:p>
      <w:pPr>
        <w:pStyle w:val="HebrewBody"/>
        <w:jc w:val="right"/>
        <w:bidi w:val="1"/>
      </w:pPr>
      <w:r>
        <w:rPr>
          <w:rtl w:val="1"/>
          <w:lang w:val="he-IL" w:bidi="he-IL"/>
        </w:rPr>
        <w:t>• מבוא</w:t>
      </w:r>
    </w:p>
    <w:p>
      <w:pPr>
        <w:pStyle w:val="HebrewBody"/>
        <w:jc w:val="right"/>
        <w:bidi w:val="1"/>
      </w:pPr>
      <w:r>
        <w:rPr>
          <w:rtl w:val="1"/>
          <w:lang w:val="he-IL" w:bidi="he-IL"/>
        </w:rPr>
        <w:t>• פרק א׳: בית המקדש הראשון, ממלכות ישראל ויהודה וחורבן הבית</w:t>
      </w:r>
    </w:p>
    <w:p>
      <w:pPr>
        <w:pStyle w:val="HebrewBody"/>
        <w:jc w:val="right"/>
        <w:bidi w:val="1"/>
      </w:pPr>
      <w:r>
        <w:rPr>
          <w:rtl w:val="1"/>
          <w:lang w:val="he-IL" w:bidi="he-IL"/>
        </w:rPr>
        <w:t>• פרק ב׳: גלות בבל, שיבת ציון ובית המקדש השני — יתווסף בהמשך</w:t>
      </w:r>
    </w:p>
    <w:p>
      <w:pPr>
        <w:pStyle w:val="HebrewBody"/>
        <w:jc w:val="right"/>
        <w:bidi w:val="1"/>
      </w:pPr>
      <w:r>
        <w:rPr>
          <w:rtl w:val="1"/>
          <w:lang w:val="he-IL" w:bidi="he-IL"/>
        </w:rPr>
        <w:t>• פרק ג׳: התקופה ההלניסטית וזהות הלניסטית מול זהות יהודית — יתווסף בהמשך</w:t>
      </w:r>
    </w:p>
    <w:p>
      <w:pPr>
        <w:pStyle w:val="HebrewBody"/>
        <w:jc w:val="right"/>
        <w:bidi w:val="1"/>
      </w:pPr>
      <w:r>
        <w:rPr>
          <w:rtl w:val="1"/>
          <w:lang w:val="he-IL" w:bidi="he-IL"/>
        </w:rPr>
        <w:t>• פרק ד׳: מרד החשמונאים והמדינה החשמונאית — יתווסף בהמשך</w:t>
      </w:r>
    </w:p>
    <w:p>
      <w:pPr>
        <w:pStyle w:val="HebrewBody"/>
        <w:jc w:val="right"/>
        <w:bidi w:val="1"/>
      </w:pPr>
      <w:r>
        <w:rPr>
          <w:rtl w:val="1"/>
          <w:lang w:val="he-IL" w:bidi="he-IL"/>
        </w:rPr>
        <w:t>• פרק ה׳: הפרושים, הצדוקים, האיסיים, הקנאים והנוצרים — יתווסף בהמשך</w:t>
      </w:r>
    </w:p>
    <w:p>
      <w:pPr>
        <w:pStyle w:val="HebrewBody"/>
        <w:jc w:val="right"/>
        <w:bidi w:val="1"/>
      </w:pPr>
      <w:r>
        <w:rPr>
          <w:rtl w:val="1"/>
          <w:lang w:val="he-IL" w:bidi="he-IL"/>
        </w:rPr>
        <w:t>• המחזה — יתווסף בהמשך</w:t>
      </w:r>
    </w:p>
    <w:p>
      <w:r>
        <w:br w:type="page"/>
      </w:r>
    </w:p>
    <w:p>
      <w:pPr>
        <w:jc w:val="right"/>
        <w:bidi w:val="1"/>
      </w:pPr>
      <w:r>
        <w:rPr>
          <w:b/>
          <w:sz w:val="40"/>
          <w:rtl w:val="1"/>
          <w:lang w:val="he-IL" w:bidi="he-IL"/>
        </w:rPr>
        <w:t>פרק א׳: בית המקדש הראשון, ממלכות ישראל ויהודה וחורבן הבית</w:t>
      </w:r>
    </w:p>
    <w:p>
      <w:pPr>
        <w:pStyle w:val="HebrewBody"/>
        <w:jc w:val="both"/>
        <w:bidi w:val="1"/>
      </w:pPr>
      <w:r>
        <w:rPr>
          <w:rtl w:val="1"/>
          <w:lang w:val="he-IL" w:bidi="he-IL"/>
        </w:rPr>
        <w:t>כדי להבין את החברה היהודית בתקופת בית המקדש השני ואת הופעתן של קבוצות כמו הפרושים, הצדוקים, האיסיים, הקנאים והנוצרים, צריך להתחיל בתקופה מוקדמת יותר. בית המקדש השני לא נבנה בתוך עולם חדש לגמרי. הוא המשיך מסורת דתית ומדינית שנוצרה בתקופת המלוכה ובתקופת בית המקדש הראשון.</w:t>
      </w:r>
    </w:p>
    <w:p>
      <w:pPr>
        <w:pStyle w:val="HebrewBody"/>
        <w:jc w:val="both"/>
        <w:bidi w:val="1"/>
      </w:pPr>
      <w:r>
        <w:rPr>
          <w:rtl w:val="1"/>
          <w:lang w:val="he-IL" w:bidi="he-IL"/>
        </w:rPr>
        <w:t>לפי המקרא, לפני הקמת המלוכה היה עם ישראל מורכב משבטים. בסוף המאה האחת עשרה ובתחילת המאה העשירית לפני הספירה קמה ממלכה מאוחדת. שאול נחשב למלך הראשון, ואחריו מלך דוד. דוד כבש את ירושלים בערך בשנת 1000 לפני הספירה וקבע אותה כבירת הממלכה. ירושלים הייתה מתאימה לתפקיד הזה מפני שלא הייתה מזוהה באופן ברור עם אחד השבטים הגדולים. לכן היא יכלה לשמש מרכז משותף לממלכה.</w:t>
      </w:r>
    </w:p>
    <w:p>
      <w:pPr>
        <w:pStyle w:val="HebrewBody"/>
        <w:jc w:val="both"/>
        <w:bidi w:val="1"/>
      </w:pPr>
      <w:r>
        <w:rPr>
          <w:rtl w:val="1"/>
          <w:lang w:val="he-IL" w:bidi="he-IL"/>
        </w:rPr>
        <w:t>דוד העביר לירושלים את ארון הברית, שהיה סמל דתי מרכזי. בכך הוא חיבר בין המרכז המדיני של הממלכה לבין המרכז הדתי שלה. דוד לא בנה את בית המקדש, אבל לפי המסורת הוא הכין את הקרקע לבנייתו. בנו, שלמה המלך, בנה את בית המקדש הראשון בירושלים במאה העשירית לפני הספירה. התאריך המדויק אינו ידוע, ולכן בדרך כלל מדברים על תקופת שלטונו של שלמה ולא על שנה אחת מוסכמת.</w:t>
      </w:r>
    </w:p>
    <w:p>
      <w:pPr>
        <w:pStyle w:val="HebrewBody"/>
        <w:jc w:val="both"/>
        <w:bidi w:val="1"/>
      </w:pPr>
      <w:r>
        <w:rPr>
          <w:rtl w:val="1"/>
          <w:lang w:val="he-IL" w:bidi="he-IL"/>
        </w:rPr>
        <w:t>בית המקדש הראשון היה המרכז הדתי החשוב ביותר של ממלכת יהודה. התקיימו בו עבודת הקורבנות, תפילות וטקסים, והוא היה גם סמל לאומי ומדיני. עם הזמן התחזקה התפיסה שירושלים היא המקום המרכזי לעבודת ה׳. בית המקדש לא היה רק בניין דתי. הוא ביטא את הקשר בין העם, הארץ, המלוכה והאל. מסיבה זו, כל פגיעה בבית המקדש נתפסה גם כפגיעה בסדר הלאומי והדתי כולו.</w:t>
      </w:r>
    </w:p>
    <w:p>
      <w:pPr>
        <w:pStyle w:val="HebrewBody"/>
        <w:jc w:val="both"/>
        <w:bidi w:val="1"/>
      </w:pPr>
      <w:r>
        <w:rPr>
          <w:rtl w:val="1"/>
          <w:lang w:val="he-IL" w:bidi="he-IL"/>
        </w:rPr>
        <w:t>את עבודת המקדש ניהלו הכוהנים. לפי המסורת, הכוהנים היו מצאצאי אהרן, אחיו של משה, והלווים מילאו תפקידים נוספים בעבודת הקודש. בראש המערכת עמד הכוהן הגדול. אחד הכוהנים החשובים בתקופת דוד ושלמה היה צדוק. הוא תמך בדוד בזמן משברים פוליטיים, השתתף בהמלכת שלמה, ולפי המסורת היה הכוהן הגדול הראשון ששירת בבית המקדש שבנה שלמה. צאצאיו, שנקראו בני צדוק, מילאו תפקיד מרכזי בכהונה במשך דורות רבים.</w:t>
      </w:r>
    </w:p>
    <w:p>
      <w:pPr>
        <w:pStyle w:val="HebrewBody"/>
        <w:jc w:val="both"/>
        <w:bidi w:val="1"/>
      </w:pPr>
      <w:r>
        <w:rPr>
          <w:rtl w:val="1"/>
          <w:lang w:val="he-IL" w:bidi="he-IL"/>
        </w:rPr>
        <w:t>הקשר בין צדוק לבין הצדוקים של תקופת בית המקדש השני אינו פשוט. חוקרים רבים קושרים את השם ״צדוקים״ לשמו של צדוק ולמסורת של משפחות הכהונה בירושלים. עם זאת, אין הסכמה מלאה על מקור השם, ואין הוכחה שכל הצדוקים היו צאצאים ישירים של צדוק. חשוב גם לזכור שלא כל הכוהנים בתקופת בית המקדש השני היו צדוקים. ובכל זאת, הקשר הסמלי בין הקבוצה לבין בית המקדש, הכהונה והסדר העתיק היה חזק מאוד.</w:t>
      </w:r>
    </w:p>
    <w:p>
      <w:pPr>
        <w:pStyle w:val="HebrewBody"/>
        <w:jc w:val="both"/>
        <w:bidi w:val="1"/>
      </w:pPr>
      <w:r>
        <w:rPr>
          <w:rtl w:val="1"/>
          <w:lang w:val="he-IL" w:bidi="he-IL"/>
        </w:rPr>
        <w:t>אחרי מותו של שלמה, בערך בסוף המאה העשירית לפני הספירה, התפצלה הממלכה לשתי ממלכות. בצפון קמה ממלכת ישראל, ובה רוב השבטים. בדרום נשארה ממלכת יהודה, שכללה בעיקר את שבטי יהודה ובנימין ואת ירושלים. הפיצול החליש את הכוח המדיני של העם, ושתי הממלכות נאלצו להתמודד עם אימפריות חזקות יותר.</w:t>
      </w:r>
    </w:p>
    <w:p>
      <w:pPr>
        <w:pStyle w:val="HebrewBody"/>
        <w:jc w:val="both"/>
        <w:bidi w:val="1"/>
      </w:pPr>
      <w:r>
        <w:rPr>
          <w:rtl w:val="1"/>
          <w:lang w:val="he-IL" w:bidi="he-IL"/>
        </w:rPr>
        <w:t>בשנת 722 לפני הספירה כבשה האימפריה האשורית את ממלכת ישראל הצפונית והחריבה את בירתה שומרון. חלק מן התושבים הוגלו, וקבוצות אחרות הועברו לאזור. ממלכת יהודה נשארה קיימת עוד יותר ממאה שנה, אך הייתה מדינה קטנה בין מעצמות גדולות. לעיתים היא שילמה מס למעצמה ששלטה באזור, ולעיתים מלכיה ניסו למרוד בעזרת בריתות עם מדינות אחרות.</w:t>
      </w:r>
    </w:p>
    <w:p>
      <w:pPr>
        <w:pStyle w:val="HebrewBody"/>
        <w:jc w:val="both"/>
        <w:bidi w:val="1"/>
      </w:pPr>
      <w:r>
        <w:rPr>
          <w:rtl w:val="1"/>
          <w:lang w:val="he-IL" w:bidi="he-IL"/>
        </w:rPr>
        <w:t>בסוף המאה השביעית לפני הספירה נחלשה אשור, והאימפריה הבבלית החדשה הפכה לכוח המרכזי באזור. מלכי יהודה ניסו לפעמים להיעזר במצרים ולהשתחרר מן השלטון הבבלי. בשנת 597 לפני הספירה כבש נבוכדנצר השני, מלך בבל, את ירושלים בפעם הראשונה. המלך יהויכין, אנשי השלטון, לוחמים ובעלי מקצוע רבים הוגלו לבבל. נבוכדנצר מינה במקומו את צדקיהו למלך יהודה.</w:t>
      </w:r>
    </w:p>
    <w:p>
      <w:pPr>
        <w:pStyle w:val="HebrewBody"/>
        <w:jc w:val="both"/>
        <w:bidi w:val="1"/>
      </w:pPr>
      <w:r>
        <w:rPr>
          <w:rtl w:val="1"/>
          <w:lang w:val="he-IL" w:bidi="he-IL"/>
        </w:rPr>
        <w:t>צדקיהו היה כפוף לבבל, אך לאחר כמה שנים הוא מרד בנבוכדנצר וקיווה לקבל עזרה ממצרים. המרד נכשל. הצבא הבבלי הטיל מצור ארוך על ירושלים. בשנת 586 לפני הספירה — ולפי חלק מן החוקרים בשנת 587 — הבבלים פרצו לעיר, החריבו חלקים גדולים ממנה ושרפו את בית המקדש הראשון. צדקיהו נתפס, בניו נהרגו לעיניו, והוא הוגלה לבבל. גם קבוצה נוספת של תושבים הוגלתה.</w:t>
      </w:r>
    </w:p>
    <w:p>
      <w:pPr>
        <w:pStyle w:val="HebrewBody"/>
        <w:jc w:val="both"/>
        <w:bidi w:val="1"/>
      </w:pPr>
      <w:r>
        <w:rPr>
          <w:rtl w:val="1"/>
          <w:lang w:val="he-IL" w:bidi="he-IL"/>
        </w:rPr>
        <w:t>לכן חורבן בית המקדש הראשון לא היה אירוע מקרי בלבד. הוא היה תוצאה של מאבק בין אימפריות, של התלות המדינית של יהודה בבבל ושל מרד כושל של הנהגת יהודה. במקרא קיבל החורבן גם הסבר דתי: הנביאים טענו שהעם והמנהיגים חטאו, עבדו אלילים, פגעו בצדק החברתי ולא הקשיבו לאזהרות. בעבודה זו חשוב להכיר בשני הממדים: הסיבה המדינית והצבאית מצד אחד, והמשמעות הדתית שנתנו לאירוע בני התקופה מצד אחר.</w:t>
      </w:r>
    </w:p>
    <w:p>
      <w:pPr>
        <w:pStyle w:val="HebrewBody"/>
        <w:jc w:val="both"/>
        <w:bidi w:val="1"/>
      </w:pPr>
      <w:r>
        <w:rPr>
          <w:rtl w:val="1"/>
          <w:lang w:val="he-IL" w:bidi="he-IL"/>
        </w:rPr>
        <w:t>לא כל תושבי יהודה הוגלו. רבים נשארו בארץ, בעיקר מן השכבות החלשות. עם זאת, המלוכה הסתיימה, ירושלים נפגעה קשות, בית המקדש נחרב וחלק גדול מן ההנהגה, הכוהנים, הלוחמים ובעלי המקצוע עברו לבבל. עבור העם היהודי היה זה משבר עמוק: הוא איבד את המרכז המדיני ואת המרכז הדתי שלו באותו זמן.</w:t>
      </w:r>
    </w:p>
    <w:p>
      <w:pPr>
        <w:pStyle w:val="HebrewBody"/>
        <w:jc w:val="both"/>
        <w:bidi w:val="1"/>
      </w:pPr>
      <w:r>
        <w:rPr>
          <w:rtl w:val="1"/>
          <w:lang w:val="he-IL" w:bidi="he-IL"/>
        </w:rPr>
        <w:t>דווקא בגלות התחזק הצורך לשמור על הזהות היהודית גם בלי מלך, בלי עצמאות ובלי בית מקדש פעיל. התורה, הזיכרון ההיסטורי, התפילה, השבת, ברית המילה וחיי הקהילה קיבלו חשיבות גדולה יותר. תהליך זה לא ביטל את התקווה לחזור לירושלים ולבנות את בית המקדש מחדש, אך הוא הראה שאפשר לשמור על הקיום היהודי גם מחוץ למקדש. המתח בין מרכזיות המקדש לבין מרכזיות התורה והקהילה יהיה חשוב מאוד בהמשך, במיוחד במחלוקת בין הצדוקים לבין הפרושים בתקופת בית המקדש השני.</w:t>
      </w:r>
    </w:p>
    <w:p>
      <w:r>
        <w:br w:type="page"/>
      </w:r>
    </w:p>
    <w:p>
      <w:pPr>
        <w:jc w:val="left"/>
        <w:bidi w:val="0"/>
      </w:pPr>
      <w:r>
        <w:rPr>
          <w:b/>
          <w:sz w:val="28"/>
          <w:lang w:val="ru-RU"/>
        </w:rPr>
        <w:t>Рабочий перевод на русский язык</w:t>
      </w:r>
    </w:p>
    <w:p>
      <w:pPr>
        <w:jc w:val="left"/>
        <w:bidi w:val="0"/>
      </w:pPr>
      <w:r>
        <w:rPr>
          <w:b/>
          <w:sz w:val="38"/>
          <w:lang w:val="ru-RU"/>
        </w:rPr>
        <w:t>Глава I. Первый Храм, царства Израиля и Иудеи и разрушение Храма</w:t>
      </w:r>
    </w:p>
    <w:p>
      <w:pPr>
        <w:pStyle w:val="RussianBody"/>
        <w:jc w:val="both"/>
        <w:bidi w:val="0"/>
      </w:pPr>
      <w:r>
        <w:rPr>
          <w:lang w:val="ru-RU"/>
        </w:rPr>
        <w:t>Чтобы понять еврейское общество периода Второго Храма и появление таких групп, как прушим, цадоким, иссиим, канаим и ноцрим, необходимо начать с более раннего периода. Второй Храм не возник в совершенно новом мире. Он продолжал религиозную и государственную традицию, сложившуюся в эпоху монархии и Первого Храма.</w:t>
      </w:r>
    </w:p>
    <w:p>
      <w:pPr>
        <w:pStyle w:val="RussianBody"/>
        <w:jc w:val="both"/>
        <w:bidi w:val="0"/>
      </w:pPr>
      <w:r>
        <w:rPr>
          <w:lang w:val="ru-RU"/>
        </w:rPr>
        <w:t>Согласно Танаху, до возникновения монархии народ Израиля состоял из колен. В конце XI — начале X века до н. э. возникло объединенное царство. Саул считается первым царем, после него правил Давид. Примерно в 1000 году до н. э. Давид захватил Иерусалим и сделал его столицей царства. Иерусалим подходил для этой роли, поскольку не был явно связан с одним из крупнейших колен и поэтому мог стать общим центром государства.</w:t>
      </w:r>
    </w:p>
    <w:p>
      <w:pPr>
        <w:pStyle w:val="RussianBody"/>
        <w:jc w:val="both"/>
        <w:bidi w:val="0"/>
      </w:pPr>
      <w:r>
        <w:rPr>
          <w:lang w:val="ru-RU"/>
        </w:rPr>
        <w:t>Давид перенес в Иерусалим Ковчег Завета, который был важным религиозным символом. Так он соединил политический центр царства с его религиозным центром. Сам Давид Храм не построил, но, согласно традиции, подготовил его строительство. Его сын, царь Соломон, построил Первый Храм в Иерусалиме в X веке до н. э. Точная дата неизвестна, поэтому обычно говорят о периоде правления Соломона, а не об одном общепринятом годе.</w:t>
      </w:r>
    </w:p>
    <w:p>
      <w:pPr>
        <w:pStyle w:val="RussianBody"/>
        <w:jc w:val="both"/>
        <w:bidi w:val="0"/>
      </w:pPr>
      <w:r>
        <w:rPr>
          <w:lang w:val="ru-RU"/>
        </w:rPr>
        <w:t>Первый Храм являлся важнейшим религиозным центром Иудейского царства. В нем совершались жертвоприношения, молитвы и обряды, а сам Храм был также национальным и государственным символом. Со временем укрепилось представление о том, что Иерусалим является главным местом служения Богу. Храм был не просто религиозным зданием: он выражал связь между народом, землей, царской властью и Богом. Поэтому любое повреждение Храма воспринималось как удар по всему национальному и религиозному порядку.</w:t>
      </w:r>
    </w:p>
    <w:p>
      <w:pPr>
        <w:pStyle w:val="RussianBody"/>
        <w:jc w:val="both"/>
        <w:bidi w:val="0"/>
      </w:pPr>
      <w:r>
        <w:rPr>
          <w:lang w:val="ru-RU"/>
        </w:rPr>
        <w:t>Храмовую службу вели коэны. Согласно традиции, они происходили от Аарона, брата Моисея, а левиты выполняли другие обязанности, связанные со священной службой. Во главе системы стоял первосвященник. Одним из важных священников эпохи Давида и Соломона был Цадок. Он поддерживал Давида во время политических кризисов, участвовал в провозглашении Соломона царем и, согласно традиции, стал первым первосвященником, служившим в построенном Соломоном Храме. Его потомки, которых называли сынами Цадока, на протяжении многих поколений играли важную роль в священстве.</w:t>
      </w:r>
    </w:p>
    <w:p>
      <w:pPr>
        <w:pStyle w:val="RussianBody"/>
        <w:jc w:val="both"/>
        <w:bidi w:val="0"/>
      </w:pPr>
      <w:r>
        <w:rPr>
          <w:lang w:val="ru-RU"/>
        </w:rPr>
        <w:t>Связь между Цадоком и цадоким периода Второго Храма не является полностью ясной. Многие исследователи связывают название «цадоким» с именем Цадока и с традицией иерусалимских священнических семей. Однако единого мнения о происхождении названия нет, и не доказано, что все цадоким были прямыми потомками Цадока. Важно также помнить, что не все священники периода Второго Храма были цадоким. Тем не менее символическая связь этой группы с Храмом, священством и древним порядком была очень сильной.</w:t>
      </w:r>
    </w:p>
    <w:p>
      <w:pPr>
        <w:pStyle w:val="RussianBody"/>
        <w:jc w:val="both"/>
        <w:bidi w:val="0"/>
      </w:pPr>
      <w:r>
        <w:rPr>
          <w:lang w:val="ru-RU"/>
        </w:rPr>
        <w:t>После смерти Соломона, приблизительно в конце X века до н. э., единое царство разделилось на два государства. На севере возникло царство Израиль, включавшее большинство колен. На юге сохранилось царство Иудея, в которое входили главным образом колена Иуды и Вениамина, а также Иерусалим. Разделение ослабило государственную силу народа, и обоим царствам пришлось противостоять более мощным империям.</w:t>
      </w:r>
    </w:p>
    <w:p>
      <w:pPr>
        <w:pStyle w:val="RussianBody"/>
        <w:jc w:val="both"/>
        <w:bidi w:val="0"/>
      </w:pPr>
      <w:r>
        <w:rPr>
          <w:lang w:val="ru-RU"/>
        </w:rPr>
        <w:t>В 722 году до н. э. Ассирийская империя захватила северное царство Израиль и разрушила его столицу Самарию. Часть населения была переселена, а в регион были перемещены другие группы. Иудейское царство просуществовало еще более ста лет, однако оставалось небольшим государством между крупными державами. Иногда оно платило дань господствующей империи, а иногда его цари пытались восстать, заключая союзы с другими государствами.</w:t>
      </w:r>
    </w:p>
    <w:p>
      <w:pPr>
        <w:pStyle w:val="RussianBody"/>
        <w:jc w:val="both"/>
        <w:bidi w:val="0"/>
      </w:pPr>
      <w:r>
        <w:rPr>
          <w:lang w:val="ru-RU"/>
        </w:rPr>
        <w:t>В конце VII века до н. э. Ассирия ослабла, а Нововавилонская империя стала главной силой в регионе. Цари Иудеи иногда пытались опереться на Египет и освободиться от вавилонской власти. В 597 году до н. э. вавилонский царь Навуходоносор II впервые захватил Иерусалим. Царь Иехония, представители власти, воины и многие ремесленники были уведены в Вавилон. Вместо Иехонии Навуходоносор назначил царем Иудеи Цидкиягу.</w:t>
      </w:r>
    </w:p>
    <w:p>
      <w:pPr>
        <w:pStyle w:val="RussianBody"/>
        <w:jc w:val="both"/>
        <w:bidi w:val="0"/>
      </w:pPr>
      <w:r>
        <w:rPr>
          <w:lang w:val="ru-RU"/>
        </w:rPr>
        <w:t>Цидкиягу подчинялся Вавилону, но спустя несколько лет восстал против Навуходоносора, надеясь получить помощь Египта. Восстание провалилось. Вавилонская армия начала длительную осаду Иерусалима. В 586 году до н. э. — а по мнению части исследователей, в 587 году — вавилоняне прорвались в город, разрушили значительную его часть и сожгли Первый Храм. Цидкиягу был схвачен, его сыновья были убиты у него на глазах, а сам он был отправлен в Вавилон. Была изгнана и еще одна часть населения.</w:t>
      </w:r>
    </w:p>
    <w:p>
      <w:pPr>
        <w:pStyle w:val="RussianBody"/>
        <w:jc w:val="both"/>
        <w:bidi w:val="0"/>
      </w:pPr>
      <w:r>
        <w:rPr>
          <w:lang w:val="ru-RU"/>
        </w:rPr>
        <w:t>Таким образом, разрушение Первого Храма не было случайным событием. Оно стало результатом борьбы между империями, политической зависимости Иудеи от Вавилона и неудачного восстания иудейского руководства. В Танахе разрушение получило также религиозное объяснение: пророки утверждали, что народ и его руководители грешили, поклонялись идолам, нарушали общественную справедливость и не прислушивались к предупреждениям. В этой работе важно учитывать оба измерения: политические и военные причины, с одной стороны, и религиозное значение, которое современники придавали катастрофе, — с другой.</w:t>
      </w:r>
    </w:p>
    <w:p>
      <w:pPr>
        <w:pStyle w:val="RussianBody"/>
        <w:jc w:val="both"/>
        <w:bidi w:val="0"/>
      </w:pPr>
      <w:r>
        <w:rPr>
          <w:lang w:val="ru-RU"/>
        </w:rPr>
        <w:t>Не все жители Иудеи были изгнаны. Многие, особенно представители бедных слоев, остались в стране. Тем не менее монархия прекратила существование, Иерусалим был тяжело поврежден, Храм разрушен, а значительная часть руководства, священников, воинов и специалистов оказалась в Вавилоне. Для еврейского народа это стало глубоким кризисом: одновременно были потеряны политический и религиозный центры.</w:t>
      </w:r>
    </w:p>
    <w:p>
      <w:pPr>
        <w:pStyle w:val="RussianBody"/>
        <w:jc w:val="both"/>
        <w:bidi w:val="0"/>
      </w:pPr>
      <w:r>
        <w:rPr>
          <w:lang w:val="ru-RU"/>
        </w:rPr>
        <w:t>Именно в изгнании усилилась необходимость сохранять еврейскую идентичность без царя, независимости и действующего Храма. Тора, историческая память, молитва, Шаббат, обрезание и общинная жизнь приобрели еще большее значение. Это не отменило надежды вернуться в Иерусалим и заново построить Храм, но показало, что еврейское существование можно сохранять и за пределами Храма. Напряжение между центральной ролью Храма и центральной ролью Торы и общины будет очень важно в дальнейшем, особенно для понимания конфликта между цадоким и прушим в период Второго Храма.</w:t>
      </w:r>
    </w:p>
    <w:p>
      <w:pPr>
        <w:jc w:val="left"/>
        <w:bidi w:val="0"/>
      </w:pPr>
      <w:r>
        <w:rPr>
          <w:b/>
          <w:sz w:val="30"/>
          <w:lang w:val="ru-RU"/>
        </w:rPr>
        <w:t>Источники и библиография</w:t>
      </w:r>
    </w:p>
    <w:p>
      <w:pPr>
        <w:pStyle w:val="RussianBody"/>
        <w:jc w:val="both"/>
        <w:bidi w:val="0"/>
      </w:pPr>
      <w:r>
        <w:rPr>
          <w:lang w:val="ru-RU"/>
        </w:rPr>
        <w:t>Полный список источников будет добавлен после завершения исторического введения. Спорные вопросы — в том числе точная дата разрушения Храма и происхождение названия «цадоким» — будут обозначены отдельно.</w:t>
      </w:r>
    </w:p>
    <w:sectPr w:rsidR="00FC693F" w:rsidRPr="0006063C" w:rsidSect="00034616">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val="0"/>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brewBody">
    <w:name w:val="Hebrew Body"/>
    <w:basedOn w:val="Normal"/>
    <w:pPr>
      <w:spacing w:line="312" w:lineRule="auto" w:after="160"/>
    </w:pPr>
    <w:rPr>
      <w:rFonts w:ascii="Arial" w:hAnsi="Arial" w:eastAsia="Arial"/>
      <w:sz w:val="24"/>
    </w:rPr>
  </w:style>
  <w:style w:type="paragraph" w:customStyle="1" w:styleId="RussianBody">
    <w:name w:val="Russian Body"/>
    <w:basedOn w:val="Normal"/>
    <w:pPr>
      <w:spacing w:line="300" w:lineRule="auto" w:after="160"/>
    </w:pPr>
    <w:rPr>
      <w:rFonts w:ascii="Arial" w:hAnsi="Arial" w:eastAsia="Arial"/>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KVS Final Project — Second Temple Groups and Hellenistic vs Jewish Identity</dc:title>
  <dc:subject>Historical introduction and play, bilingual working draft</dc:subject>
  <dc:creator>Arseny Perel</dc:creator>
  <cp:keywords>KVS, Second Temple, Hellenism, Jewish identity, Pharisees, Sadducees, Essenes, Zealots, Nazarenes</cp:keywords>
  <dc:description>generated by python-docx</dc:description>
  <cp:lastModifiedBy/>
  <cp:revision>1</cp:revision>
  <dcterms:created xsi:type="dcterms:W3CDTF">2013-12-23T23:15:00Z</dcterms:created>
  <dcterms:modified xsi:type="dcterms:W3CDTF">2013-12-23T23:15:00Z</dcterms:modified>
  <cp:category/>
</cp:coreProperties>
</file>