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2024-01-15</w:t>
      </w:r>
    </w:p>
    <w:p>
      <w:pPr>
        <w:pStyle w:val="FirstParagraph"/>
      </w:pPr>
      <w:r>
        <w:rPr>
          <w:b/>
          <w:bCs/>
        </w:rPr>
        <w:t xml:space="preserve">Microsoft BI Architekt + Entwickler. MS SQL Server, Power BI, Fabric, SSAS (OLAP, Tabular), Data Warehouse, Lakehouse, ELT, ETL, automatisierte Dokumentation, DataHandwerk, Azure</w:t>
      </w:r>
    </w:p>
    <w:tbl>
      <w:tblPr>
        <w:tblStyle w:val="Table"/>
        <w:tblW w:type="pct" w:w="5000"/>
        <w:jc w:val="left"/>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2">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3">
        <w:r>
          <w:rPr>
            <w:rStyle w:val="Hyperlink"/>
          </w:rPr>
          <w:t xml:space="preserve">DataHandwerk DocsGenerator</w:t>
        </w:r>
      </w:hyperlink>
      <w:r>
        <w:rPr>
          <w:rStyle w:val="Funotenzeichen"/>
        </w:rPr>
        <w:footnoteReference w:id="34"/>
      </w:r>
      <w:r>
        <w:t xml:space="preserve"> </w:t>
      </w:r>
      <w:r>
        <w:t xml:space="preserve">(Kombination von technischer und fachlicher Dokumentation;</w:t>
      </w:r>
      <w:r>
        <w:t xml:space="preserve"> </w:t>
      </w:r>
      <w:hyperlink r:id="rId36">
        <w:r>
          <w:rPr>
            <w:rStyle w:val="Hyperlink"/>
          </w:rPr>
          <w:t xml:space="preserve">AsciiDoc</w:t>
        </w:r>
      </w:hyperlink>
      <w:r>
        <w:t xml:space="preserve">,</w:t>
      </w:r>
      <w:r>
        <w:t xml:space="preserve"> </w:t>
      </w:r>
      <w:hyperlink r:id="rId37">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8">
        <w:r>
          <w:rPr>
            <w:rStyle w:val="Hyperlink"/>
            <w:b/>
            <w:bCs/>
          </w:rPr>
          <w:t xml:space="preserve">Microsoft SQL Server</w:t>
        </w:r>
      </w:hyperlink>
      <w:r>
        <w:t xml:space="preserve">, einschließlich</w:t>
      </w:r>
      <w:r>
        <w:t xml:space="preserve"> </w:t>
      </w:r>
      <w:hyperlink r:id="rId39">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0">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1">
        <w:r>
          <w:rPr>
            <w:rStyle w:val="Hyperlink"/>
          </w:rPr>
          <w:t xml:space="preserve">SSRS (SQL Server Reporting Services)</w:t>
        </w:r>
      </w:hyperlink>
      <w:r>
        <w:t xml:space="preserve"> </w:t>
      </w:r>
      <w:r>
        <w:t xml:space="preserve">und verschiedener</w:t>
      </w:r>
      <w:r>
        <w:t xml:space="preserve"> </w:t>
      </w:r>
      <w:hyperlink r:id="rId42">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3">
        <w:r>
          <w:rPr>
            <w:rStyle w:val="Hyperlink"/>
          </w:rPr>
          <w:t xml:space="preserve">Transact-SQL (T-SQL)</w:t>
        </w:r>
      </w:hyperlink>
    </w:p>
    <w:p>
      <w:pPr>
        <w:numPr>
          <w:ilvl w:val="2"/>
          <w:numId w:val="1011"/>
        </w:numPr>
      </w:pPr>
      <w:hyperlink r:id="rId44">
        <w:r>
          <w:rPr>
            <w:rStyle w:val="Hyperlink"/>
          </w:rPr>
          <w:t xml:space="preserve">MDX (Multidimensional Expressions)</w:t>
        </w:r>
      </w:hyperlink>
    </w:p>
    <w:p>
      <w:pPr>
        <w:numPr>
          <w:ilvl w:val="2"/>
          <w:numId w:val="1011"/>
        </w:numPr>
      </w:pPr>
      <w:hyperlink r:id="rId45">
        <w:r>
          <w:rPr>
            <w:rStyle w:val="Hyperlink"/>
          </w:rPr>
          <w:t xml:space="preserve">DAX (Data Analysis Expressions)</w:t>
        </w:r>
      </w:hyperlink>
    </w:p>
    <w:p>
      <w:pPr>
        <w:numPr>
          <w:ilvl w:val="1"/>
          <w:numId w:val="1010"/>
        </w:numPr>
      </w:pPr>
      <w:hyperlink r:id="rId46">
        <w:r>
          <w:rPr>
            <w:rStyle w:val="Hyperlink"/>
            <w:b/>
            <w:bCs/>
          </w:rPr>
          <w:t xml:space="preserve">DataHandwerk-toolkit-mssql</w:t>
        </w:r>
      </w:hyperlink>
      <w:r>
        <w:br/>
      </w:r>
      <w:r>
        <w:t xml:space="preserve">mein open source Projekt</w:t>
      </w:r>
      <w:r>
        <w:rPr>
          <w:rStyle w:val="Funotenzeichen"/>
        </w:rPr>
        <w:footnoteReference w:id="47"/>
      </w:r>
      <w:r>
        <w:t xml:space="preserve">, enthält auch einen Datenbank-Dokumentations-Generator</w:t>
      </w:r>
    </w:p>
    <w:p>
      <w:pPr>
        <w:numPr>
          <w:ilvl w:val="1"/>
          <w:numId w:val="1010"/>
        </w:numPr>
      </w:pPr>
      <w:hyperlink r:id="rId49">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37">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6">
        <w:r>
          <w:rPr>
            <w:rStyle w:val="Hyperlink"/>
          </w:rPr>
          <w:t xml:space="preserve">AsciiDoc</w:t>
        </w:r>
      </w:hyperlink>
    </w:p>
    <w:p>
      <w:pPr>
        <w:numPr>
          <w:ilvl w:val="1"/>
          <w:numId w:val="1010"/>
        </w:numPr>
      </w:pPr>
      <w:r>
        <w:t xml:space="preserve">bevorzugte Frontends</w:t>
      </w:r>
    </w:p>
    <w:p>
      <w:pPr>
        <w:numPr>
          <w:ilvl w:val="2"/>
          <w:numId w:val="1013"/>
        </w:numPr>
      </w:pPr>
      <w:hyperlink r:id="rId50">
        <w:r>
          <w:rPr>
            <w:rStyle w:val="Hyperlink"/>
          </w:rPr>
          <w:t xml:space="preserve">Microsoft Power BI</w:t>
        </w:r>
      </w:hyperlink>
      <w:r>
        <w:br/>
      </w:r>
      <w:r>
        <w:t xml:space="preserve">Microsoft Frontend für Berichtswesen</w:t>
      </w:r>
    </w:p>
    <w:p>
      <w:pPr>
        <w:numPr>
          <w:ilvl w:val="2"/>
          <w:numId w:val="1013"/>
        </w:numPr>
      </w:pPr>
      <w:hyperlink r:id="rId51">
        <w:r>
          <w:rPr>
            <w:rStyle w:val="Hyperlink"/>
          </w:rPr>
          <w:t xml:space="preserve">XLcubed</w:t>
        </w:r>
      </w:hyperlink>
      <w:r>
        <w:br/>
      </w:r>
      <w:r>
        <w:t xml:space="preserve">einziges brauchbares Excel-Addin für SSAS</w:t>
      </w:r>
    </w:p>
    <w:p>
      <w:pPr>
        <w:numPr>
          <w:ilvl w:val="1"/>
          <w:numId w:val="1010"/>
        </w:numPr>
      </w:pPr>
      <w:hyperlink r:id="rId52">
        <w:r>
          <w:rPr>
            <w:rStyle w:val="Hyperlink"/>
          </w:rPr>
          <w:t xml:space="preserve">Azure DevOps</w:t>
        </w:r>
      </w:hyperlink>
      <w:r>
        <w:br/>
      </w:r>
      <w:r>
        <w:t xml:space="preserve">Tool für DevOps, agiles Projekt-Controlling, Issue-Tracking, Code-Versionierung</w:t>
      </w:r>
    </w:p>
    <w:p>
      <w:pPr>
        <w:numPr>
          <w:ilvl w:val="1"/>
          <w:numId w:val="1010"/>
        </w:numPr>
      </w:pPr>
      <w:hyperlink r:id="rId53">
        <w:r>
          <w:rPr>
            <w:rStyle w:val="Hyperlink"/>
          </w:rPr>
          <w:t xml:space="preserve">Microsoft Azure</w:t>
        </w:r>
      </w:hyperlink>
    </w:p>
    <w:p>
      <w:pPr>
        <w:numPr>
          <w:ilvl w:val="2"/>
          <w:numId w:val="1014"/>
        </w:numPr>
      </w:pPr>
      <w:r>
        <w:t xml:space="preserve">diverse Dienste und Produkte</w:t>
      </w:r>
    </w:p>
    <w:bookmarkEnd w:id="54"/>
    <w:bookmarkStart w:id="5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5"/>
    <w:bookmarkStart w:id="59"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8">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4">
        <w:r>
          <w:rPr>
            <w:rStyle w:val="Hyperlink"/>
          </w:rPr>
          <w:t xml:space="preserve">MDX (Multidimensional Expressions)</w:t>
        </w:r>
      </w:hyperlink>
      <w:r>
        <w:t xml:space="preserve"> </w:t>
      </w:r>
      <w:r>
        <w:t xml:space="preserve">kann für beide Technologien verwendet werden,</w:t>
      </w:r>
      <w:r>
        <w:t xml:space="preserve"> </w:t>
      </w:r>
      <w:hyperlink r:id="rId45">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2"/>
    <w:bookmarkStart w:id="63"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3"/>
    <w:bookmarkEnd w:id="64"/>
    <w:bookmarkStart w:id="65"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referenzen"/>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4">
    <w:p>
      <w:pPr>
        <w:pStyle w:val="Funotentext"/>
      </w:pPr>
      <w:r>
        <w:rPr>
          <w:rStyle w:val="Funotenzeichen"/>
        </w:rPr>
        <w:footnoteRef/>
      </w:r>
      <w:r>
        <w:t xml:space="preserve"> </w:t>
      </w:r>
      <w:r>
        <w:t xml:space="preserve">Mehr zum Docs-as-Code und meinem Dokumentationsgenerator:</w:t>
      </w:r>
      <w:r>
        <w:t xml:space="preserve"> </w:t>
      </w:r>
      <w:hyperlink r:id="rId35">
        <w:r>
          <w:rPr>
            <w:rStyle w:val="Hyperlink"/>
          </w:rPr>
          <w:t xml:space="preserve">https://datahandwerk.aisberg.de/2021-04-20-docs-code-mit-asciidoc-und-antora/</w:t>
        </w:r>
      </w:hyperlink>
    </w:p>
  </w:footnote>
  <w:footnote w:id="47">
    <w:p>
      <w:pPr>
        <w:pStyle w:val="Funotentext"/>
      </w:pPr>
      <w:r>
        <w:rPr>
          <w:rStyle w:val="Funotenzeichen"/>
        </w:rPr>
        <w:footnoteRef/>
      </w:r>
      <w:r>
        <w:t xml:space="preserve"> </w:t>
      </w:r>
      <w:r>
        <w:t xml:space="preserve">Warum es das DataHandwerk Projekt gibt:</w:t>
      </w:r>
      <w:r>
        <w:t xml:space="preserve"> </w:t>
      </w:r>
      <w:hyperlink r:id="rId48">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6" Target="https://www.bezirkskliniken-mfr.de/" TargetMode="External" /><Relationship Type="http://schemas.openxmlformats.org/officeDocument/2006/relationships/hyperlink" Id="rId174" Target="https://www.kelvion.com/de/"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58" Target="https://www.microsoft.com/en-us/power-platform/products/power-bi"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6" Target="https://www.bezirkskliniken-mfr.de/" TargetMode="External" /><Relationship Type="http://schemas.openxmlformats.org/officeDocument/2006/relationships/hyperlink" Id="rId174" Target="https://www.kelvion.com/de/"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58" Target="https://www.microsoft.com/en-us/power-platform/products/power-bi"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2024-01-15T12:44:54Z</dcterms:created>
  <dcterms:modified xsi:type="dcterms:W3CDTF">2024-01-15T12:44:54Z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ies>
</file>