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2024-04-10</w:t>
      </w:r>
    </w:p>
    <w:p>
      <w:pPr>
        <w:pStyle w:val="FirstParagraph"/>
      </w:pPr>
      <w:r>
        <w:rPr>
          <w:b/>
          <w:bCs/>
        </w:rPr>
        <w:t xml:space="preserve">"Ihre Investition in meine Erfahrung ist ein Schlüssel zu Ihrem Erfolg. seit 1999: Microsoft BI Architekt + Entwickler. MS SQL Server, Power BI, Fabric, SSAS (OLAP, Tabular), Data Warehouse, Lakehouse, ELT, ETL, Azure"</w:t>
      </w:r>
    </w:p>
    <w:p>
      <w:pPr>
        <w:pStyle w:val="Figure"/>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FirstParagraph"/>
      </w:pPr>
      <w:r>
        <w:t xml:space="preserve">14089 Berlin</w:t>
      </w:r>
    </w:p>
    <w:p>
      <w:pPr>
        <w:pStyle w:val="Textkrper"/>
      </w:pPr>
      <w:r>
        <w:t xml:space="preserve">Download des IT-Profils als Word-Datei:</w:t>
      </w:r>
      <w:r>
        <w:t xml:space="preserve"> </w:t>
      </w:r>
      <w:hyperlink r:id="rId23">
        <w:r>
          <w:rPr>
            <w:rStyle w:val="Hyperlink"/>
          </w:rPr>
          <w:t xml:space="preserve">Germo_Goertz_IT_profile.docx</w:t>
        </w:r>
      </w:hyperlink>
    </w:p>
    <w:bookmarkStart w:id="30" w:name="Xe7c7ff5cffeac567ac6c935b4425e4387035eb1"/>
    <w:p>
      <w:pPr>
        <w:pStyle w:val="berschrift1"/>
      </w:pPr>
      <w:r>
        <w:t xml:space="preserve">meine Erfahrung für Ihren Erfolg</w:t>
      </w:r>
    </w:p>
    <w:p>
      <w:pPr>
        <w:numPr>
          <w:ilvl w:val="0"/>
          <w:numId w:val="1001"/>
        </w:numPr>
      </w:pPr>
      <w:r>
        <w:t xml:space="preserve">Exzellenz durch Kompetenz</w:t>
      </w:r>
    </w:p>
    <w:p>
      <w:pPr>
        <w:numPr>
          <w:ilvl w:val="0"/>
          <w:numId w:val="1001"/>
        </w:numPr>
      </w:pPr>
      <w:r>
        <w:t xml:space="preserve">Handwerk statt Fließband</w:t>
      </w:r>
    </w:p>
    <w:p>
      <w:pPr>
        <w:numPr>
          <w:ilvl w:val="0"/>
          <w:numId w:val="1001"/>
        </w:numPr>
      </w:pPr>
      <w:r>
        <w:t xml:space="preserve">Technokratie statt Demokratie</w:t>
      </w:r>
      <w:r>
        <w:rPr>
          <w:rStyle w:val="Funotenzeichen"/>
        </w:rPr>
        <w:footnoteReference w:id="24"/>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Am Ende meines IT-Profils finden Sie</w:t>
      </w:r>
      <w:r>
        <w:t xml:space="preserve"> </w:t>
      </w:r>
      <w:hyperlink w:anchor="referenzen">
        <w:r>
          <w:rPr>
            <w:rStyle w:val="Hyperlink"/>
            <w:b/>
            <w:bCs/>
          </w:rPr>
          <w:t xml:space="preserve">Referenzen zufriedener Kunden</w:t>
        </w:r>
      </w:hyperlink>
      <w:r>
        <w:t xml:space="preserve">.</w:t>
      </w:r>
    </w:p>
    <w:p>
      <w:pPr>
        <w:pStyle w:val="Textkrper"/>
      </w:pPr>
      <w:r>
        <w:br/>
      </w:r>
      <w:r>
        <w:br/>
      </w:r>
      <w:r>
        <w:br/>
      </w:r>
    </w:p>
    <w:p>
      <w:pPr>
        <w:pStyle w:val="Textkrper"/>
      </w:pPr>
      <w:r>
        <w:t xml:space="preserve">Als</w:t>
      </w:r>
      <w:r>
        <w:t xml:space="preserve"> </w:t>
      </w:r>
      <w:hyperlink r:id="rId26">
        <w:r>
          <w:rPr>
            <w:rStyle w:val="Hyperlink"/>
          </w:rPr>
          <w:t xml:space="preserve">Arzt-Kybernetiker</w:t>
        </w:r>
      </w:hyperlink>
      <w:r>
        <w:t xml:space="preserve"> </w:t>
      </w:r>
      <w:r>
        <w:t xml:space="preserve">bin ich "kybernetisch im Denken und Handeln"</w:t>
      </w:r>
    </w:p>
    <w:p>
      <w:pPr>
        <w:pStyle w:val="Figure"/>
      </w:pPr>
      <w:r>
        <w:drawing>
          <wp:inline>
            <wp:extent cx="5886450" cy="809625"/>
            <wp:effectExtent b="0" l="0" r="0" t="0"/>
            <wp:docPr descr="kybernetik05 left right" title="" id="28" name="Picture"/>
            <a:graphic>
              <a:graphicData uri="http://schemas.openxmlformats.org/drawingml/2006/picture">
                <pic:pic>
                  <pic:nvPicPr>
                    <pic:cNvPr descr="./assets/img/kybernetik05-left_right.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86450" cy="809625"/>
                    </a:xfrm>
                    <a:prstGeom prst="rect">
                      <a:avLst/>
                    </a:prstGeom>
                    <a:noFill/>
                    <a:ln w="9525">
                      <a:noFill/>
                      <a:headEnd/>
                      <a:tailEnd/>
                    </a:ln>
                  </pic:spPr>
                </pic:pic>
              </a:graphicData>
            </a:graphic>
          </wp:inline>
        </w:drawing>
      </w:r>
    </w:p>
    <w:p>
      <w:pPr>
        <w:numPr>
          <w:ilvl w:val="0"/>
          <w:numId w:val="1002"/>
        </w:numPr>
      </w:pPr>
      <w:r>
        <w:rPr>
          <w:b/>
          <w:bCs/>
        </w:rPr>
        <w:t xml:space="preserve">Ist</w:t>
      </w:r>
      <w:r>
        <w:t xml:space="preserve">-Zustand und</w:t>
      </w:r>
      <w:r>
        <w:t xml:space="preserve"> </w:t>
      </w:r>
      <w:r>
        <w:rPr>
          <w:b/>
          <w:bCs/>
        </w:rPr>
        <w:t xml:space="preserve">Ziel</w:t>
      </w:r>
      <w:r>
        <w:t xml:space="preserve">-Zustand analysieren,</w:t>
      </w:r>
    </w:p>
    <w:p>
      <w:pPr>
        <w:numPr>
          <w:ilvl w:val="0"/>
          <w:numId w:val="1002"/>
        </w:numPr>
      </w:pPr>
      <w:r>
        <w:rPr>
          <w:b/>
          <w:bCs/>
        </w:rPr>
        <w:t xml:space="preserve">verschiedene Wege</w:t>
      </w:r>
      <w:r>
        <w:t xml:space="preserve"> </w:t>
      </w:r>
      <w:r>
        <w:t xml:space="preserve">identifizieren,</w:t>
      </w:r>
    </w:p>
    <w:p>
      <w:pPr>
        <w:numPr>
          <w:ilvl w:val="0"/>
          <w:numId w:val="1002"/>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2"/>
        </w:numPr>
      </w:pPr>
      <w:r>
        <w:rPr>
          <w:b/>
          <w:bCs/>
        </w:rPr>
        <w:t xml:space="preserve">Störgrößen</w:t>
      </w:r>
      <w:r>
        <w:t xml:space="preserve"> </w:t>
      </w:r>
      <w:r>
        <w:t xml:space="preserve">ermitteln und auf diese reagieren.</w:t>
      </w:r>
    </w:p>
    <w:bookmarkEnd w:id="30"/>
    <w:bookmarkStart w:id="53"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Data Lakehouse (Databricks, data lake)</w:t>
      </w:r>
    </w:p>
    <w:p>
      <w:pPr>
        <w:numPr>
          <w:ilvl w:val="2"/>
          <w:numId w:val="1005"/>
        </w:numPr>
      </w:pPr>
      <w:r>
        <w:t xml:space="preserve">ELT (Extrahieren, Laden, Transformieren von Daten), ETL</w:t>
      </w:r>
    </w:p>
    <w:p>
      <w:pPr>
        <w:numPr>
          <w:ilvl w:val="2"/>
          <w:numId w:val="1005"/>
        </w:numPr>
      </w:pPr>
      <w:r>
        <w:t xml:space="preserve">Datenmodellen</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Datenmodellierung als pragmatische Kombination verschiedener sinnvoller Konzepte</w:t>
      </w:r>
    </w:p>
    <w:p>
      <w:pPr>
        <w:numPr>
          <w:ilvl w:val="1"/>
          <w:numId w:val="1006"/>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6"/>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6"/>
        </w:numPr>
      </w:pPr>
      <w:r>
        <w:t xml:space="preserve">Datenmodellierung mit</w:t>
      </w:r>
      <w:r>
        <w:t xml:space="preserve"> </w:t>
      </w:r>
      <w:hyperlink r:id="rId31">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6"/>
        </w:numPr>
      </w:pPr>
      <w:r>
        <w:rPr>
          <w:b/>
          <w:bCs/>
        </w:rPr>
        <w:t xml:space="preserve">Data Lakehouse</w:t>
      </w:r>
    </w:p>
    <w:p>
      <w:pPr>
        <w:numPr>
          <w:ilvl w:val="0"/>
          <w:numId w:val="1003"/>
        </w:numPr>
      </w:pPr>
      <w:r>
        <w:t xml:space="preserve">automatisierte versionisierte Dokumentation mit</w:t>
      </w:r>
      <w:r>
        <w:t xml:space="preserve"> </w:t>
      </w:r>
      <w:hyperlink r:id="rId32">
        <w:r>
          <w:rPr>
            <w:rStyle w:val="Hyperlink"/>
          </w:rPr>
          <w:t xml:space="preserve">DataHandwerk DocsGenerator</w:t>
        </w:r>
      </w:hyperlink>
      <w:r>
        <w:rPr>
          <w:rStyle w:val="Funotenzeichen"/>
        </w:rPr>
        <w:footnoteReference w:id="33"/>
      </w:r>
      <w:r>
        <w:t xml:space="preserve"> </w:t>
      </w:r>
      <w:r>
        <w:t xml:space="preserve">(Kombination von technischer und fachlicher Dokumentation;</w:t>
      </w:r>
      <w:r>
        <w:t xml:space="preserve"> </w:t>
      </w:r>
      <w:hyperlink r:id="rId35">
        <w:r>
          <w:rPr>
            <w:rStyle w:val="Hyperlink"/>
          </w:rPr>
          <w:t xml:space="preserve">AsciiDoc</w:t>
        </w:r>
      </w:hyperlink>
      <w:r>
        <w:t xml:space="preserve">,</w:t>
      </w:r>
      <w:r>
        <w:t xml:space="preserve"> </w:t>
      </w:r>
      <w:hyperlink r:id="rId36">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(Daten-Import und -Export, ELT, Code-Generierung, DWH, Dokumentation)</w:t>
      </w:r>
    </w:p>
    <w:p>
      <w:pPr>
        <w:numPr>
          <w:ilvl w:val="0"/>
          <w:numId w:val="1003"/>
        </w:numPr>
      </w:pPr>
      <w:r>
        <w:t xml:space="preserve">unter Verwendung von</w:t>
      </w:r>
      <w:r>
        <w:t xml:space="preserve"> </w:t>
      </w:r>
      <w:hyperlink r:id="rId37">
        <w:r>
          <w:rPr>
            <w:rStyle w:val="Hyperlink"/>
            <w:b/>
            <w:bCs/>
          </w:rPr>
          <w:t xml:space="preserve">Microsoft SQL Server</w:t>
        </w:r>
      </w:hyperlink>
      <w:r>
        <w:t xml:space="preserve">, einschließlich</w:t>
      </w:r>
      <w:r>
        <w:t xml:space="preserve"> </w:t>
      </w:r>
      <w:hyperlink r:id="rId38">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39">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0">
        <w:r>
          <w:rPr>
            <w:rStyle w:val="Hyperlink"/>
          </w:rPr>
          <w:t xml:space="preserve">SSRS (SQL Server Reporting Services)</w:t>
        </w:r>
      </w:hyperlink>
      <w:r>
        <w:t xml:space="preserve"> </w:t>
      </w:r>
      <w:r>
        <w:t xml:space="preserve">und verschiedener</w:t>
      </w:r>
      <w:r>
        <w:t xml:space="preserve"> </w:t>
      </w:r>
      <w:hyperlink r:id="rId41">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7"/>
        </w:numPr>
      </w:pPr>
      <w:r>
        <w:t xml:space="preserve">Programmier- und Abfragesprachen für Datenbanken</w:t>
      </w:r>
    </w:p>
    <w:p>
      <w:pPr>
        <w:numPr>
          <w:ilvl w:val="2"/>
          <w:numId w:val="1008"/>
        </w:numPr>
      </w:pPr>
      <w:hyperlink r:id="rId42">
        <w:r>
          <w:rPr>
            <w:rStyle w:val="Hyperlink"/>
          </w:rPr>
          <w:t xml:space="preserve">Transact-SQL (T-SQL)</w:t>
        </w:r>
      </w:hyperlink>
    </w:p>
    <w:p>
      <w:pPr>
        <w:numPr>
          <w:ilvl w:val="2"/>
          <w:numId w:val="1008"/>
        </w:numPr>
      </w:pPr>
      <w:hyperlink r:id="rId43">
        <w:r>
          <w:rPr>
            <w:rStyle w:val="Hyperlink"/>
          </w:rPr>
          <w:t xml:space="preserve">MDX (Multidimensional Expressions)</w:t>
        </w:r>
      </w:hyperlink>
    </w:p>
    <w:p>
      <w:pPr>
        <w:numPr>
          <w:ilvl w:val="2"/>
          <w:numId w:val="1008"/>
        </w:numPr>
      </w:pPr>
      <w:hyperlink r:id="rId44">
        <w:r>
          <w:rPr>
            <w:rStyle w:val="Hyperlink"/>
          </w:rPr>
          <w:t xml:space="preserve">DAX (Data Analysis Expressions)</w:t>
        </w:r>
      </w:hyperlink>
    </w:p>
    <w:p>
      <w:pPr>
        <w:numPr>
          <w:ilvl w:val="1"/>
          <w:numId w:val="1007"/>
        </w:numPr>
      </w:pPr>
      <w:hyperlink r:id="rId45">
        <w:r>
          <w:rPr>
            <w:rStyle w:val="Hyperlink"/>
            <w:b/>
            <w:bCs/>
          </w:rPr>
          <w:t xml:space="preserve">DataHandwerk-toolkit-mssql</w:t>
        </w:r>
      </w:hyperlink>
      <w:r>
        <w:br/>
      </w:r>
      <w:r>
        <w:t xml:space="preserve">mein open source Projekt</w:t>
      </w:r>
      <w:r>
        <w:rPr>
          <w:rStyle w:val="Funotenzeichen"/>
        </w:rPr>
        <w:footnoteReference w:id="46"/>
      </w:r>
      <w:r>
        <w:t xml:space="preserve">, enthält auch einen Datenbank-Dokumentations-Generator</w:t>
      </w:r>
    </w:p>
    <w:p>
      <w:pPr>
        <w:numPr>
          <w:ilvl w:val="1"/>
          <w:numId w:val="1007"/>
        </w:numPr>
      </w:pPr>
      <w:hyperlink r:id="rId48">
        <w:r>
          <w:rPr>
            <w:rStyle w:val="Hyperlink"/>
          </w:rPr>
          <w:t xml:space="preserve">git (Versionskontrollsystem)</w:t>
        </w:r>
      </w:hyperlink>
      <w:r>
        <w:br/>
      </w:r>
      <w:r>
        <w:t xml:space="preserve">alle meine Projekte werden grundsätzlich versionisiert</w:t>
      </w:r>
    </w:p>
    <w:p>
      <w:pPr>
        <w:numPr>
          <w:ilvl w:val="1"/>
          <w:numId w:val="1007"/>
        </w:numPr>
      </w:pPr>
      <w:r>
        <w:t xml:space="preserve">Software und Technologien zur Erstellung und Wartung von Dokumentationen</w:t>
      </w:r>
    </w:p>
    <w:p>
      <w:pPr>
        <w:numPr>
          <w:ilvl w:val="2"/>
          <w:numId w:val="1009"/>
        </w:numPr>
      </w:pPr>
      <w:hyperlink r:id="rId36">
        <w:r>
          <w:rPr>
            <w:rStyle w:val="Hyperlink"/>
          </w:rPr>
          <w:t xml:space="preserve">Antora (Docs as Code)</w:t>
        </w:r>
      </w:hyperlink>
      <w:r>
        <w:br/>
      </w:r>
      <w:r>
        <w:t xml:space="preserve">open Source Dokumentations-Framework, insbesondere für technische und versionisierte Dokumentation</w:t>
      </w:r>
    </w:p>
    <w:p>
      <w:pPr>
        <w:numPr>
          <w:ilvl w:val="2"/>
          <w:numId w:val="1009"/>
        </w:numPr>
      </w:pPr>
      <w:r>
        <w:t xml:space="preserve">basiert auf der Auszeichnungssprache</w:t>
      </w:r>
      <w:r>
        <w:t xml:space="preserve"> </w:t>
      </w:r>
      <w:hyperlink r:id="rId35">
        <w:r>
          <w:rPr>
            <w:rStyle w:val="Hyperlink"/>
          </w:rPr>
          <w:t xml:space="preserve">AsciiDoc</w:t>
        </w:r>
      </w:hyperlink>
    </w:p>
    <w:p>
      <w:pPr>
        <w:numPr>
          <w:ilvl w:val="1"/>
          <w:numId w:val="1007"/>
        </w:numPr>
      </w:pPr>
      <w:r>
        <w:t xml:space="preserve">bevorzugte Frontends</w:t>
      </w:r>
    </w:p>
    <w:p>
      <w:pPr>
        <w:numPr>
          <w:ilvl w:val="2"/>
          <w:numId w:val="1010"/>
        </w:numPr>
      </w:pPr>
      <w:hyperlink r:id="rId49">
        <w:r>
          <w:rPr>
            <w:rStyle w:val="Hyperlink"/>
          </w:rPr>
          <w:t xml:space="preserve">Microsoft Power BI</w:t>
        </w:r>
      </w:hyperlink>
      <w:r>
        <w:br/>
      </w:r>
      <w:r>
        <w:t xml:space="preserve">Microsoft Frontend für Berichtswesen</w:t>
      </w:r>
    </w:p>
    <w:p>
      <w:pPr>
        <w:numPr>
          <w:ilvl w:val="2"/>
          <w:numId w:val="1010"/>
        </w:numPr>
      </w:pPr>
      <w:hyperlink r:id="rId50">
        <w:r>
          <w:rPr>
            <w:rStyle w:val="Hyperlink"/>
          </w:rPr>
          <w:t xml:space="preserve">XLcubed</w:t>
        </w:r>
      </w:hyperlink>
      <w:r>
        <w:br/>
      </w:r>
      <w:r>
        <w:t xml:space="preserve">einziges brauchbares Excel-Addin für SSAS</w:t>
      </w:r>
    </w:p>
    <w:p>
      <w:pPr>
        <w:numPr>
          <w:ilvl w:val="1"/>
          <w:numId w:val="1007"/>
        </w:numPr>
      </w:pPr>
      <w:hyperlink r:id="rId51">
        <w:r>
          <w:rPr>
            <w:rStyle w:val="Hyperlink"/>
          </w:rPr>
          <w:t xml:space="preserve">Azure DevOps</w:t>
        </w:r>
      </w:hyperlink>
      <w:r>
        <w:br/>
      </w:r>
      <w:r>
        <w:t xml:space="preserve">Tool für DevOps, agiles Projekt-Controlling, Issue-Tracking, Code-Versionierung</w:t>
      </w:r>
    </w:p>
    <w:p>
      <w:pPr>
        <w:numPr>
          <w:ilvl w:val="1"/>
          <w:numId w:val="1007"/>
        </w:numPr>
      </w:pPr>
      <w:hyperlink r:id="rId52">
        <w:r>
          <w:rPr>
            <w:rStyle w:val="Hyperlink"/>
          </w:rPr>
          <w:t xml:space="preserve">Microsoft Azure</w:t>
        </w:r>
      </w:hyperlink>
    </w:p>
    <w:p>
      <w:pPr>
        <w:numPr>
          <w:ilvl w:val="2"/>
          <w:numId w:val="1011"/>
        </w:numPr>
      </w:pPr>
      <w:r>
        <w:t xml:space="preserve">diverse Dienste und Produkte</w:t>
      </w:r>
    </w:p>
    <w:bookmarkEnd w:id="53"/>
    <w:bookmarkStart w:id="59" w:name="X32bee6dfa5a42fdaf2c52bb017c954f4fca7d70"/>
    <w:p>
      <w:pPr>
        <w:pStyle w:val="berschrift1"/>
      </w:pPr>
      <w:r>
        <w:t xml:space="preserve">Anmerkungen</w:t>
      </w:r>
    </w:p>
    <w:bookmarkStart w:id="57" w:name="Xdd49e0cb4f33d8ec62eb56ba4246c5bc3c62ed4"/>
    <w:p>
      <w:pPr>
        <w:pStyle w:val="berschrift2"/>
      </w:pPr>
      <w:r>
        <w:t xml:space="preserve">Über SSAS (SQL Server Analysis Services), Power BI und Microsoft Fabric</w:t>
      </w:r>
    </w:p>
    <w:p>
      <w:pPr>
        <w:pStyle w:val="FirstParagraph"/>
      </w:pPr>
      <w:r>
        <w:t xml:space="preserve">Unter dem gleichen Oberbegriff</w:t>
      </w:r>
      <w:r>
        <w:t xml:space="preserve"> </w:t>
      </w:r>
      <w:r>
        <w:rPr>
          <w:b/>
          <w:bCs/>
        </w:rPr>
        <w:t xml:space="preserve">SSAS</w:t>
      </w:r>
      <w:r>
        <w:t xml:space="preserve"> </w:t>
      </w:r>
      <w:r>
        <w:t xml:space="preserve">(</w:t>
      </w:r>
      <w:hyperlink r:id="rId54">
        <w:r>
          <w:rPr>
            <w:rStyle w:val="Hyperlink"/>
          </w:rPr>
          <w:t xml:space="preserve">SQL Server Analysis Services</w:t>
        </w:r>
      </w:hyperlink>
      <w:r>
        <w:t xml:space="preserve">) vereint Microsoft zwei unterschiedliche Technologien:</w:t>
      </w:r>
    </w:p>
    <w:p>
      <w:pPr>
        <w:numPr>
          <w:ilvl w:val="0"/>
          <w:numId w:val="1012"/>
        </w:numPr>
      </w:pPr>
      <w:r>
        <w:rPr>
          <w:b/>
          <w:bCs/>
        </w:rPr>
        <w:t xml:space="preserve">multidimensionale</w:t>
      </w:r>
      <w:r>
        <w:t xml:space="preserve"> </w:t>
      </w:r>
      <w:r>
        <w:t xml:space="preserve">Datenbanken: OLAP</w:t>
      </w:r>
    </w:p>
    <w:p>
      <w:pPr>
        <w:numPr>
          <w:ilvl w:val="0"/>
          <w:numId w:val="1012"/>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5">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6">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3">
        <w:r>
          <w:rPr>
            <w:rStyle w:val="Hyperlink"/>
          </w:rPr>
          <w:t xml:space="preserve">MDX (Multidimensional Expressions)</w:t>
        </w:r>
      </w:hyperlink>
      <w:r>
        <w:t xml:space="preserve"> </w:t>
      </w:r>
      <w:r>
        <w:t xml:space="preserve">kann für beide Technologien verwendet werden,</w:t>
      </w:r>
      <w:r>
        <w:t xml:space="preserve"> </w:t>
      </w:r>
      <w:hyperlink r:id="rId44">
        <w:r>
          <w:rPr>
            <w:rStyle w:val="Hyperlink"/>
          </w:rPr>
          <w:t xml:space="preserve">DAX (Data Analysis Expressions)</w:t>
        </w:r>
      </w:hyperlink>
      <w:r>
        <w:t xml:space="preserve"> </w:t>
      </w:r>
      <w:r>
        <w:t xml:space="preserve">kann nur für SSAS Tabular verwendet werden.</w:t>
      </w:r>
    </w:p>
    <w:bookmarkEnd w:id="57"/>
    <w:bookmarkStart w:id="58" w:name="X1829c2c4157ffc6812be1d9c2d0b6d4e0532534"/>
    <w:p>
      <w:pPr>
        <w:pStyle w:val="berschrift2"/>
      </w:pPr>
      <w:r>
        <w:t xml:space="preserve">keine AÜL, Rentenversicherung, Scheinselbständigkeit</w:t>
      </w:r>
    </w:p>
    <w:p>
      <w:pPr>
        <w:pStyle w:val="FirstParagraph"/>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8"/>
    <w:bookmarkEnd w:id="59"/>
    <w:bookmarkStart w:id="63" w:name="X86b58cae348d6239c64b93d06196819867c2c24"/>
    <w:p>
      <w:pPr>
        <w:pStyle w:val="berschrift1"/>
      </w:pPr>
      <w:r>
        <w:t xml:space="preserve">Abschluss</w:t>
      </w:r>
    </w:p>
    <w:p>
      <w:pPr>
        <w:numPr>
          <w:ilvl w:val="0"/>
          <w:numId w:val="1013"/>
        </w:numPr>
      </w:pPr>
      <w:r>
        <w:t xml:space="preserve">in English:</w:t>
      </w:r>
    </w:p>
    <w:p>
      <w:pPr>
        <w:numPr>
          <w:ilvl w:val="1"/>
          <w:numId w:val="1014"/>
        </w:numPr>
      </w:pPr>
      <w:r>
        <w:t xml:space="preserve">Diplom-Mediziner, Biophysiker,</w:t>
      </w:r>
      <w:r>
        <w:t xml:space="preserve"> </w:t>
      </w:r>
      <w:hyperlink r:id="rId26">
        <w:r>
          <w:rPr>
            <w:rStyle w:val="Hyperlink"/>
          </w:rPr>
          <w:t xml:space="preserve">Arzt-Kybernetiker (medical cybernetics)</w:t>
        </w:r>
      </w:hyperlink>
      <w:r>
        <w:br/>
      </w:r>
      <w:hyperlink r:id="rId60">
        <w:r>
          <w:rPr>
            <w:rStyle w:val="Hyperlink"/>
          </w:rPr>
          <w:t xml:space="preserve">Pirogov Russian National Research Medical University</w:t>
        </w:r>
      </w:hyperlink>
    </w:p>
    <w:p>
      <w:pPr>
        <w:numPr>
          <w:ilvl w:val="0"/>
          <w:numId w:val="1013"/>
        </w:numPr>
      </w:pPr>
      <w:r>
        <w:t xml:space="preserve">на русском:</w:t>
      </w:r>
    </w:p>
    <w:p>
      <w:pPr>
        <w:numPr>
          <w:ilvl w:val="1"/>
          <w:numId w:val="1015"/>
        </w:numPr>
      </w:pPr>
      <w:hyperlink r:id="rId61">
        <w:r>
          <w:rPr>
            <w:rStyle w:val="Hyperlink"/>
          </w:rPr>
          <w:t xml:space="preserve">Программа специалитета «Медицинская кибернетика»</w:t>
        </w:r>
      </w:hyperlink>
      <w:r>
        <w:br/>
      </w:r>
      <w:hyperlink r:id="rId62">
        <w:r>
          <w:rPr>
            <w:rStyle w:val="Hyperlink"/>
          </w:rPr>
          <w:t xml:space="preserve">Российский национальный исследовательский медицинский университет имени Н.И. Пирогова</w:t>
        </w:r>
      </w:hyperlink>
    </w:p>
    <w:bookmarkEnd w:id="63"/>
    <w:bookmarkStart w:id="64" w:name="Xd54011b4552ca623b2445eff45dda64d58bfd8a"/>
    <w:p>
      <w:pPr>
        <w:pStyle w:val="berschrift1"/>
      </w:pPr>
      <w:r>
        <w:t xml:space="preserve">Sprachkenntnisse</w:t>
      </w:r>
    </w:p>
    <w:p>
      <w:pPr>
        <w:numPr>
          <w:ilvl w:val="0"/>
          <w:numId w:val="1016"/>
        </w:numPr>
      </w:pPr>
      <w:r>
        <w:t xml:space="preserve">deutsch (Muttersprache)</w:t>
      </w:r>
    </w:p>
    <w:p>
      <w:pPr>
        <w:numPr>
          <w:ilvl w:val="0"/>
          <w:numId w:val="1016"/>
        </w:numPr>
      </w:pPr>
      <w:r>
        <w:t xml:space="preserve">russisch (studiert und gearbeitet in Russland)</w:t>
      </w:r>
    </w:p>
    <w:p>
      <w:pPr>
        <w:numPr>
          <w:ilvl w:val="0"/>
          <w:numId w:val="1016"/>
        </w:numPr>
      </w:pPr>
      <w:r>
        <w:t xml:space="preserve">englisch</w:t>
      </w:r>
    </w:p>
    <w:bookmarkEnd w:id="64"/>
    <w:bookmarkStart w:id="163" w:name="X2634bd2194affe29c1cfd97b054c3f1354a4ba9"/>
    <w:p>
      <w:pPr>
        <w:pStyle w:val="berschrift1"/>
      </w:pPr>
      <w:r>
        <w:t xml:space="preserve">Projekthistorie</w:t>
      </w:r>
    </w:p>
    <w:p>
      <w:pPr>
        <w:pStyle w:val="FirstParagraph"/>
      </w:pPr>
      <w:r>
        <w:t xml:space="preserve">zeitlich sortiert nach Projekt-Ende</w:t>
      </w:r>
    </w:p>
    <w:bookmarkStart w:id="69"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5" w:name="X5f0468ccf24e7f192e18e86ffe456a2a47dce7a"/>
    <w:p>
      <w:pPr>
        <w:pStyle w:val="berschrift3"/>
      </w:pPr>
      <w:r>
        <w:t xml:space="preserve">Microsoft BI Architekt und Entwickler</w:t>
      </w:r>
    </w:p>
    <w:bookmarkEnd w:id="65"/>
    <w:bookmarkStart w:id="67" w:name="Xe103b6d9480c6ab43bf75cfe96c9287d0ad69ee"/>
    <w:p>
      <w:pPr>
        <w:pStyle w:val="berschrift3"/>
      </w:pPr>
      <w:r>
        <w:t xml:space="preserve">Hospital Process Analyzer</w:t>
      </w:r>
    </w:p>
    <w:p>
      <w:pPr>
        <w:pStyle w:val="FirstParagraph"/>
      </w:pPr>
      <w:hyperlink r:id="rId66">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7"/>
    <w:bookmarkStart w:id="68"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8"/>
    <w:bookmarkEnd w:id="69"/>
    <w:bookmarkStart w:id="70"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70"/>
    <w:bookmarkStart w:id="71"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71"/>
    <w:bookmarkStart w:id="73"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2"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72"/>
    <w:bookmarkEnd w:id="73"/>
    <w:bookmarkStart w:id="74"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74"/>
    <w:bookmarkStart w:id="76" w:name="X2814412c463acceecab4722cb14405de90f5889"/>
    <w:p>
      <w:pPr>
        <w:pStyle w:val="berschrift2"/>
      </w:pPr>
      <w:r>
        <w:t xml:space="preserve">09/2022 - 12/2022; Kerkhoff Experts GmbH</w:t>
      </w:r>
    </w:p>
    <w:bookmarkStart w:id="75" w:name="X423f84c93caeb3a6efa3c17abd6efe498210aca"/>
    <w:p>
      <w:pPr>
        <w:pStyle w:val="berschrift3"/>
      </w:pPr>
      <w:r>
        <w:t xml:space="preserve">Quick Scan für den Einkauf</w:t>
      </w:r>
    </w:p>
    <w:p>
      <w:pPr>
        <w:numPr>
          <w:ilvl w:val="0"/>
          <w:numId w:val="1024"/>
        </w:numPr>
      </w:pPr>
      <w:r>
        <w:t xml:space="preserve">Spend-Cube mit Microsoft Power BI</w:t>
      </w:r>
    </w:p>
    <w:bookmarkEnd w:id="75"/>
    <w:bookmarkEnd w:id="76"/>
    <w:bookmarkStart w:id="78"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7"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7"/>
    <w:bookmarkEnd w:id="78"/>
    <w:bookmarkStart w:id="80"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9"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9"/>
    <w:bookmarkEnd w:id="80"/>
    <w:bookmarkStart w:id="82"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1"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81"/>
    <w:bookmarkEnd w:id="82"/>
    <w:bookmarkStart w:id="84"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3"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83"/>
    <w:bookmarkEnd w:id="84"/>
    <w:bookmarkStart w:id="86"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5"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5"/>
    <w:bookmarkEnd w:id="86"/>
    <w:bookmarkStart w:id="88"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7"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7"/>
    <w:bookmarkEnd w:id="88"/>
    <w:bookmarkStart w:id="90"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9"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9"/>
    <w:bookmarkEnd w:id="90"/>
    <w:bookmarkStart w:id="92"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1"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1"/>
    <w:bookmarkEnd w:id="92"/>
    <w:bookmarkStart w:id="94"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3"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3"/>
    <w:bookmarkEnd w:id="94"/>
    <w:bookmarkStart w:id="96"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5"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5"/>
    <w:bookmarkEnd w:id="96"/>
    <w:bookmarkStart w:id="99"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7"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7"/>
    <w:bookmarkStart w:id="98"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8"/>
    <w:bookmarkEnd w:id="99"/>
    <w:bookmarkStart w:id="101"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100"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100"/>
    <w:bookmarkEnd w:id="101"/>
    <w:bookmarkStart w:id="103"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2"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102"/>
    <w:bookmarkEnd w:id="103"/>
    <w:bookmarkStart w:id="105"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4"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4"/>
    <w:bookmarkEnd w:id="105"/>
    <w:bookmarkStart w:id="107"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6"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6"/>
    <w:bookmarkEnd w:id="107"/>
    <w:bookmarkStart w:id="109"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8"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8"/>
    <w:bookmarkEnd w:id="109"/>
    <w:bookmarkStart w:id="111"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10"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10"/>
    <w:bookmarkEnd w:id="111"/>
    <w:bookmarkStart w:id="113"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2" w:name="Xe224a792cdb0daca82f4ed6f4a7169933f6ac05"/>
    <w:p>
      <w:pPr>
        <w:pStyle w:val="berschrift3"/>
      </w:pPr>
      <w:r>
        <w:t xml:space="preserve">Unterstützung bei Analyse, Bearbeitung und Auswertung komplexer Datenpakete eines Produktionsprozesses mit Microsoft-BI-Analyse-Plattform, Data Mining</w:t>
      </w:r>
    </w:p>
    <w:bookmarkEnd w:id="112"/>
    <w:bookmarkEnd w:id="113"/>
    <w:bookmarkStart w:id="115"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4"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14"/>
    <w:bookmarkEnd w:id="115"/>
    <w:bookmarkStart w:id="118"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7"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7"/>
    <w:bookmarkEnd w:id="118"/>
    <w:bookmarkStart w:id="120"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9"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9"/>
    <w:bookmarkEnd w:id="120"/>
    <w:bookmarkStart w:id="122"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1"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1"/>
    <w:bookmarkEnd w:id="122"/>
    <w:bookmarkStart w:id="124"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3"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3"/>
    <w:bookmarkEnd w:id="124"/>
    <w:bookmarkStart w:id="127"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6"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5">
        <w:r>
          <w:rPr>
            <w:rStyle w:val="Hyperlink"/>
          </w:rPr>
          <w:t xml:space="preserve">http://www.orpheus-it.com/</w:t>
        </w:r>
      </w:hyperlink>
    </w:p>
    <w:bookmarkEnd w:id="126"/>
    <w:bookmarkEnd w:id="127"/>
    <w:bookmarkStart w:id="129"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8"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8"/>
    <w:bookmarkEnd w:id="129"/>
    <w:bookmarkStart w:id="131"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0"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30"/>
    <w:bookmarkEnd w:id="131"/>
    <w:bookmarkStart w:id="133"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2"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32"/>
    <w:bookmarkEnd w:id="133"/>
    <w:bookmarkStart w:id="135"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4"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4"/>
    <w:bookmarkEnd w:id="135"/>
    <w:bookmarkStart w:id="137"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6"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6"/>
    <w:bookmarkEnd w:id="137"/>
    <w:bookmarkStart w:id="139"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8"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8"/>
    <w:bookmarkEnd w:id="139"/>
    <w:bookmarkStart w:id="141"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40"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40"/>
    <w:bookmarkEnd w:id="141"/>
    <w:bookmarkStart w:id="143"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2"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42"/>
    <w:bookmarkEnd w:id="143"/>
    <w:bookmarkStart w:id="162"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4"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4"/>
    <w:bookmarkStart w:id="145"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5"/>
    <w:bookmarkStart w:id="146"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6"/>
    <w:bookmarkStart w:id="148"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7"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7"/>
    <w:bookmarkEnd w:id="148"/>
    <w:bookmarkStart w:id="150"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9"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9"/>
    <w:bookmarkEnd w:id="150"/>
    <w:bookmarkStart w:id="152"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1"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3"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3"/>
    <w:bookmarkEnd w:id="154"/>
    <w:bookmarkStart w:id="156"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5"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5"/>
    <w:bookmarkEnd w:id="156"/>
    <w:bookmarkStart w:id="158"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7"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7"/>
    <w:bookmarkEnd w:id="158"/>
    <w:bookmarkStart w:id="160"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9"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9"/>
    <w:bookmarkEnd w:id="160"/>
    <w:bookmarkStart w:id="161" w:name="X8dcb390c6fce4a58582bcfbfb6b8145f92b233f"/>
    <w:p>
      <w:pPr>
        <w:pStyle w:val="berschrift3"/>
      </w:pPr>
      <w:r>
        <w:t xml:space="preserve">09/1999 - 05/2004 diverse Projekte / diverse Branchen (u. a. Energiewirtschaft, Versicherungen, Banken, …​)</w:t>
      </w:r>
    </w:p>
    <w:bookmarkEnd w:id="161"/>
    <w:bookmarkEnd w:id="162"/>
    <w:bookmarkEnd w:id="163"/>
    <w:bookmarkStart w:id="189" w:name="referenzen"/>
    <w:p>
      <w:pPr>
        <w:pStyle w:val="berschrift1"/>
      </w:pPr>
      <w:r>
        <w:t xml:space="preserve">Referenzen meiner zufriedenen Kunden</w:t>
      </w:r>
    </w:p>
    <w:bookmarkStart w:id="164"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4"/>
    <w:bookmarkStart w:id="165"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5"/>
    <w:bookmarkStart w:id="167"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6">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7"/>
    <w:bookmarkStart w:id="169"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0"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0"/>
    <w:bookmarkStart w:id="172"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1">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2"/>
    <w:bookmarkStart w:id="174"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3">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4"/>
    <w:bookmarkStart w:id="175"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5"/>
    <w:bookmarkStart w:id="177"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6">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7"/>
    <w:bookmarkStart w:id="178"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8"/>
    <w:bookmarkStart w:id="180"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9">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80"/>
    <w:bookmarkStart w:id="182"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1">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2"/>
    <w:bookmarkStart w:id="184"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3">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4"/>
    <w:bookmarkStart w:id="186"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5">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6"/>
    <w:bookmarkStart w:id="188"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7">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8"/>
    <w:bookmarkEnd w:id="189"/>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5">
        <w:r>
          <w:rPr>
            <w:rStyle w:val="Hyperlink"/>
          </w:rPr>
          <w:t xml:space="preserve">https://blog.germo-goertz.de/2022-09-15-krankenhaus-autobauer/</w:t>
        </w:r>
      </w:hyperlink>
    </w:p>
  </w:footnote>
  <w:footnote w:id="33">
    <w:p>
      <w:pPr>
        <w:pStyle w:val="Funotentext"/>
      </w:pPr>
      <w:r>
        <w:rPr>
          <w:rStyle w:val="Funotenzeichen"/>
        </w:rPr>
        <w:footnoteRef/>
      </w:r>
      <w:r>
        <w:t xml:space="preserve"> </w:t>
      </w:r>
      <w:r>
        <w:t xml:space="preserve">Mehr zum Docs-as-Code und meinem Dokumentationsgenerator:</w:t>
      </w:r>
      <w:r>
        <w:t xml:space="preserve"> </w:t>
      </w:r>
      <w:hyperlink r:id="rId34">
        <w:r>
          <w:rPr>
            <w:rStyle w:val="Hyperlink"/>
          </w:rPr>
          <w:t xml:space="preserve">https://blog.germo-goertz.de/2021-04-20-docs-code-mit-asciidoc-und-antora/</w:t>
        </w:r>
      </w:hyperlink>
    </w:p>
  </w:footnote>
  <w:footnote w:id="46">
    <w:p>
      <w:pPr>
        <w:pStyle w:val="Funotentext"/>
      </w:pPr>
      <w:r>
        <w:rPr>
          <w:rStyle w:val="Funotenzeichen"/>
        </w:rPr>
        <w:footnoteRef/>
      </w:r>
      <w:r>
        <w:t xml:space="preserve"> </w:t>
      </w:r>
      <w:r>
        <w:t xml:space="preserve">Warum es das DataHandwerk Projekt gibt:</w:t>
      </w:r>
      <w:r>
        <w:t xml:space="preserve"> </w:t>
      </w:r>
      <w:hyperlink r:id="rId47">
        <w:r>
          <w:rPr>
            <w:rStyle w:val="Hyperlink"/>
          </w:rPr>
          <w:t xml:space="preserve">https://blog.germo-goertz.de/2021-03-23-datahandwerk-toolkit-mssql/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7" Target="media/rId27.svg" /><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5" Target="https://blog.germo-goertz.de/2022-09-15-krankenhaus-autobauer/"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5" Target="https://blog.germo-goertz.de/2022-09-15-krankenhaus-autobauer/"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2024-04-10T21:32:29Z</dcterms:created>
  <dcterms:modified xsi:type="dcterms:W3CDTF">2024-04-10T21:32:29Z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2024-04-10</vt:lpwstr>
  </property>
</Properties>
</file>