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A3A5C"/>
          <w:sz w:val="56"/>
          <w:szCs w:val="56"/>
        </w:rPr>
        <w:t xml:space="preserve">AISCEND LABS</w:t>
      </w:r>
    </w:p>
    <w:p>
      <w:pPr>
        <w:spacing w:after="400"/>
        <w:jc w:val="center"/>
      </w:pPr>
      <w:r>
        <w:rPr>
          <w:rFonts w:ascii="Arial" w:cs="Arial" w:eastAsia="Arial" w:hAnsi="Arial"/>
          <w:color w:val="666666"/>
          <w:sz w:val="32"/>
          <w:szCs w:val="32"/>
        </w:rPr>
        <w:t xml:space="preserve">Website Rebuild Brief</w:t>
      </w:r>
    </w:p>
    <w:p>
      <w:pPr>
        <w:jc w:val="center"/>
      </w:pPr>
      <w:r>
        <w:rPr>
          <w:color w:val="888888"/>
          <w:sz w:val="20"/>
          <w:szCs w:val="20"/>
        </w:rPr>
        <w:t xml:space="preserve">Strategic Direction, Copy Architecture, Technical Spec &amp; Context Docs for Coding Agent</w:t>
      </w:r>
    </w:p>
    <w:p>
      <w:pPr>
        <w:spacing w:before="600"/>
        <w:jc w:val="center"/>
      </w:pPr>
      <w:r>
        <w:rPr>
          <w:color w:val="888888"/>
          <w:sz w:val="20"/>
          <w:szCs w:val="20"/>
        </w:rPr>
        <w:t xml:space="preserve">March 2026 • Prepared for Spencer Karns &amp; Connor Raney</w:t>
      </w:r>
    </w:p>
    <w:p>
      <w:r>
        <w:br w:type="page"/>
      </w:r>
    </w:p>
    <w:p>
      <w:pPr>
        <w:pStyle w:val="Heading1"/>
      </w:pPr>
      <w:r>
        <w:t xml:space="preserve">1. Strategic Foundation</w:t>
      </w:r>
    </w:p>
    <w:p>
      <w:pPr>
        <w:pStyle w:val="Heading2"/>
      </w:pPr>
      <w:r>
        <w:t xml:space="preserve">1.1 Why This Site Exists</w:t>
      </w:r>
    </w:p>
    <w:p>
      <w:pPr>
        <w:spacing w:after="160" w:line="276"/>
      </w:pPr>
      <w:r>
        <w:t xml:space="preserve">Most of Aiscend’s leads arrive warm—through networks, referrals, board connections. They’re not discovering Aiscend through Google. They’re arriving at the site after hearing Spencer talk, or after someone like Joshua Bell makes an introduction. The site’s job is not lead generation. It’s credibility confirmation.</w:t>
      </w:r>
    </w:p>
    <w:p>
      <w:pPr>
        <w:spacing w:after="160" w:line="276"/>
      </w:pPr>
      <w:r>
        <w:t xml:space="preserve">A warm lead visits the site asking two questions: (1) Are these guys legit? and (2) Do they actually understand my problem? If the site answers both in under 30 seconds, the lead books a call. If it doesn’t, they quietly move on.</w:t>
      </w:r>
    </w:p>
    <w:p>
      <w:pPr>
        <w:spacing w:after="160" w:line="276"/>
      </w:pPr>
      <w:r>
        <w:t xml:space="preserve">Secondary function: a small percentage of visitors will be cold—someone who stumbled across Aiscend through a mention, a LinkedIn post, an article. For these visitors, the site needs to make the problem vivid enough that they self-qualify and either book a call or leave. No middle ground.</w:t>
      </w:r>
    </w:p>
    <w:p>
      <w:pPr>
        <w:pStyle w:val="Heading2"/>
      </w:pPr>
      <w:r>
        <w:t xml:space="preserve">1.2 Who Is Looking at This Site</w:t>
      </w:r>
    </w:p>
    <w:p>
      <w:pPr>
        <w:pStyle w:val="Heading3"/>
      </w:pPr>
      <w:r>
        <w:t xml:space="preserve">Primary ICP: The Owner / Senior Leader</w:t>
      </w:r>
    </w:p>
    <w:p>
      <w:pPr>
        <w:spacing w:after="160" w:line="276"/>
      </w:pPr>
      <w:r>
        <w:t xml:space="preserve">50-65 years old. Runs or leads a company with $5M-500M+ in revenue. Has been in business 15-30+ years. Knows their industry cold but doesn’t know what an LLM is and doesn’t care to learn. They’ve heard “you need AI” from six different people and it all sounds the same. They’re skeptical of consultants who show up with frameworks and leave with invoices. They respect people who understand their actual work.</w:t>
      </w:r>
    </w:p>
    <w:p>
      <w:pPr>
        <w:spacing w:after="160" w:line="276"/>
      </w:pPr>
      <w:r>
        <w:t xml:space="preserve">What they respond to: proof of work, plain language, specificity, and the feeling that someone gets it without them having to explain everything from scratch. They don’t want to see a dark-themed developer portfolio. They want to see a company that looks established, serious, and human.</w:t>
      </w:r>
    </w:p>
    <w:p>
      <w:pPr>
        <w:pStyle w:val="Heading3"/>
      </w:pPr>
      <w:r>
        <w:t xml:space="preserve">Secondary ICP: The Operations Bottleneck</w:t>
      </w:r>
    </w:p>
    <w:p>
      <w:pPr>
        <w:spacing w:after="160" w:line="276"/>
      </w:pPr>
      <w:r>
        <w:t xml:space="preserve">The COO, senior designer, technical lead—the person everyone depends on. They’re chronically overloaded, reviewing every output, answering every question. They know they’re a single point of failure. When they see Aiscend’s site, they need to think: “These people understand my exact situation.”</w:t>
      </w:r>
    </w:p>
    <w:p>
      <w:pPr>
        <w:pStyle w:val="Heading3"/>
      </w:pPr>
      <w:r>
        <w:t xml:space="preserve">Tertiary ICP: The Enterprise Strategist (Conan Cooper Archetype)</w:t>
      </w:r>
    </w:p>
    <w:p>
      <w:pPr>
        <w:spacing w:after="160" w:line="276"/>
      </w:pPr>
      <w:r>
        <w:t xml:space="preserve">32-45 years old. Head of Strategy or similar at a large company. Technical enough to install Claude Code on a weekend. They already have IBM or Accenture doing their workflow mapping, but they recognize those firms don’t capture the nuance—the gut decisions, the implicit knowledge. This person validates Aiscend’s thesis from a different angle. They may not buy consulting services, but they might buy Atlas, or they might refer someone who needs Aiscend’s core offering.</w:t>
      </w:r>
    </w:p>
    <w:p>
      <w:pPr>
        <w:pStyle w:val="Heading2"/>
      </w:pPr>
      <w:r>
        <w:t xml:space="preserve">1.3 The Core Insight the Site Must Communicate</w:t>
      </w:r>
    </w:p>
    <w:p>
      <w:pPr>
        <w:spacing w:after="160" w:line="276"/>
      </w:pPr>
      <w:r>
        <w:rPr>
          <w:b/>
          <w:bCs/>
        </w:rPr>
        <w:t xml:space="preserve">Your most valuable knowledge isn’t in your systems. It’s in your people’s heads.</w:t>
      </w:r>
      <w:r>
        <w:t xml:space="preserve"> That’s it. Every other message flows from this.</w:t>
      </w:r>
    </w:p>
    <w:p>
      <w:pPr>
        <w:spacing w:after="160" w:line="276"/>
      </w:pPr>
      <w:r>
        <w:t xml:space="preserve">When Katie at the supply chain company makes a gut call based on 20 years of pattern recognition, that decision is worth millions—but it’s invisible to every database in the building. When the COO at FreeAxez catches an error in a floor plan that no checklist would flag, that’s institutional knowledge operating in real time. Aiscend captures that. Nobody else does it this way.</w:t>
      </w:r>
    </w:p>
    <w:p>
      <w:r>
        <w:br w:type="page"/>
      </w:r>
    </w:p>
    <w:p>
      <w:pPr>
        <w:pStyle w:val="Heading1"/>
      </w:pPr>
      <w:r>
        <w:t xml:space="preserve">2. Design Direction</w:t>
      </w:r>
    </w:p>
    <w:p>
      <w:pPr>
        <w:pStyle w:val="Heading2"/>
      </w:pPr>
      <w:r>
        <w:t xml:space="preserve">2.1 Aesthetic Philosophy</w:t>
      </w:r>
    </w:p>
    <w:p>
      <w:pPr>
        <w:spacing w:after="160" w:line="276"/>
      </w:pPr>
      <w:r>
        <w:t xml:space="preserve">Premium but warm. Think McKinsey-meets-boutique-agency, not SaaS startup. The sweet spot between Connor’s instinct (premium feel) and Spencer’s instinct (approachable for older business owners) is not a compromise—it’s the same thing. The most premium thing you can do for this audience is be clear, confident, and human.</w:t>
      </w:r>
    </w:p>
    <w:p>
      <w:pPr>
        <w:pStyle w:val="Heading3"/>
      </w:pPr>
      <w:r>
        <w:t xml:space="preserve">What We’re Drawing From</w:t>
      </w:r>
    </w:p>
    <w:p>
      <w:pPr>
        <w:pStyle w:val="ListParagraph"/>
        <w:numPr>
          <w:ilvl w:val="0"/>
          <w:numId w:val="2"/>
        </w:numPr>
        <w:spacing w:after="80"/>
      </w:pPr>
      <w:r>
        <w:t xml:space="preserve">Shopify Editions Winter ’26: The scroll-driven storytelling, the 3D elements that feel purposeful rather than decorative, the way each section earns its space. Not the SaaS aesthetic—the editorial quality of the experience.</w:t>
      </w:r>
    </w:p>
    <w:p>
      <w:pPr>
        <w:pStyle w:val="ListParagraph"/>
        <w:numPr>
          <w:ilvl w:val="0"/>
          <w:numId w:val="2"/>
        </w:numPr>
        <w:spacing w:after="80"/>
      </w:pPr>
      <w:r>
        <w:t xml:space="preserve">Every.to/consulting: The credibility-first layout. Proof of work up front. Testimonials that feel real. The “we do it because it’s what we do every day” confidence. Not the generic consulting language.</w:t>
      </w:r>
    </w:p>
    <w:p>
      <w:pPr>
        <w:pStyle w:val="ListParagraph"/>
        <w:numPr>
          <w:ilvl w:val="0"/>
          <w:numId w:val="2"/>
        </w:numPr>
        <w:spacing w:after="80"/>
      </w:pPr>
      <w:r>
        <w:t xml:space="preserve">PrismTech.ai (Arman’s site): Clean, fast, professional. Better than Connor’s current iteration. The dark theme works for Prism’s audience but not for Aiscend’s primary ICP. Take the structural clarity and speed, leave the color scheme.</w:t>
      </w:r>
    </w:p>
    <w:p>
      <w:pPr>
        <w:pStyle w:val="Heading3"/>
      </w:pPr>
      <w:r>
        <w:t xml:space="preserve">What We’re Avoiding</w:t>
      </w:r>
    </w:p>
    <w:p>
      <w:pPr>
        <w:pStyle w:val="ListParagraph"/>
        <w:numPr>
          <w:ilvl w:val="0"/>
          <w:numId w:val="2"/>
        </w:numPr>
        <w:spacing w:after="80"/>
      </w:pPr>
      <w:r>
        <w:t xml:space="preserve">Dark themes. A 58-year-old engineering firm owner does not trust a dark website. Light background is non-negotiable.</w:t>
      </w:r>
    </w:p>
    <w:p>
      <w:pPr>
        <w:pStyle w:val="ListParagraph"/>
        <w:numPr>
          <w:ilvl w:val="0"/>
          <w:numId w:val="2"/>
        </w:numPr>
        <w:spacing w:after="80"/>
      </w:pPr>
      <w:r>
        <w:t xml:space="preserve">Gold accents. The current Connor iteration has gold that reads as crypto/fintech, not professional services.</w:t>
      </w:r>
    </w:p>
    <w:p>
      <w:pPr>
        <w:pStyle w:val="ListParagraph"/>
        <w:numPr>
          <w:ilvl w:val="0"/>
          <w:numId w:val="2"/>
        </w:numPr>
        <w:spacing w:after="80"/>
      </w:pPr>
      <w:r>
        <w:t xml:space="preserve">Vibecoded slop: no TypeScript favicons, no gradient cards that look AI-generated, no “glassy” UI elements.</w:t>
      </w:r>
    </w:p>
    <w:p>
      <w:pPr>
        <w:pStyle w:val="ListParagraph"/>
        <w:numPr>
          <w:ilvl w:val="0"/>
          <w:numId w:val="2"/>
        </w:numPr>
        <w:spacing w:after="80"/>
      </w:pPr>
      <w:r>
        <w:t xml:space="preserve">Copy that sounds like ChatGPT wrote it. If a sentence could appear on any AI consulting website, delete it.</w:t>
      </w:r>
    </w:p>
    <w:p>
      <w:pPr>
        <w:pStyle w:val="ListParagraph"/>
        <w:numPr>
          <w:ilvl w:val="0"/>
          <w:numId w:val="2"/>
        </w:numPr>
        <w:spacing w:after="80"/>
      </w:pPr>
      <w:r>
        <w:t xml:space="preserve">Rule-of-three sentence structures, em-dash overuse, “transformative,” “game-changing,” “robust,” “leverage.”</w:t>
      </w:r>
    </w:p>
    <w:p>
      <w:pPr>
        <w:pStyle w:val="Heading2"/>
      </w:pPr>
      <w:r>
        <w:t xml:space="preserve">2.2 Color, Typography &amp; Visual System</w:t>
      </w:r>
    </w:p>
    <w:p>
      <w:pPr>
        <w:pStyle w:val="Heading3"/>
      </w:pPr>
      <w:r>
        <w:t xml:space="preserve">Color Palette</w:t>
      </w:r>
    </w:p>
    <w:p>
      <w:pPr>
        <w:pStyle w:val="ListParagraph"/>
        <w:numPr>
          <w:ilvl w:val="0"/>
          <w:numId w:val="2"/>
        </w:numPr>
        <w:spacing w:after="80"/>
      </w:pPr>
      <w:r>
        <w:t xml:space="preserve">Background: Off-white (#FAFAF8 or similar warm white). Not pure white—too clinical.</w:t>
      </w:r>
    </w:p>
    <w:p>
      <w:pPr>
        <w:pStyle w:val="ListParagraph"/>
        <w:numPr>
          <w:ilvl w:val="0"/>
          <w:numId w:val="2"/>
        </w:numPr>
        <w:spacing w:after="80"/>
      </w:pPr>
      <w:r>
        <w:t xml:space="preserve">Primary text: Near-black (#1A1A1A). High contrast, easy to read.</w:t>
      </w:r>
    </w:p>
    <w:p>
      <w:pPr>
        <w:pStyle w:val="ListParagraph"/>
        <w:numPr>
          <w:ilvl w:val="0"/>
          <w:numId w:val="2"/>
        </w:numPr>
        <w:spacing w:after="80"/>
      </w:pPr>
      <w:r>
        <w:t xml:space="preserve">Accent: Deep navy (#1A3A5C) or similar. Used for headlines, links, and the CTA button. One accent color only.</w:t>
      </w:r>
    </w:p>
    <w:p>
      <w:pPr>
        <w:pStyle w:val="ListParagraph"/>
        <w:numPr>
          <w:ilvl w:val="0"/>
          <w:numId w:val="2"/>
        </w:numPr>
        <w:spacing w:after="80"/>
      </w:pPr>
      <w:r>
        <w:t xml:space="preserve">Secondary accent: A muted warm tone for subtle highlights—think terracotta or deep sage, used very sparingly.</w:t>
      </w:r>
    </w:p>
    <w:p>
      <w:pPr>
        <w:pStyle w:val="ListParagraph"/>
        <w:numPr>
          <w:ilvl w:val="0"/>
          <w:numId w:val="2"/>
        </w:numPr>
        <w:spacing w:after="80"/>
      </w:pPr>
      <w:r>
        <w:t xml:space="preserve">No gradients. No neon. No gold.</w:t>
      </w:r>
    </w:p>
    <w:p>
      <w:pPr>
        <w:pStyle w:val="Heading3"/>
      </w:pPr>
      <w:r>
        <w:t xml:space="preserve">Typography</w:t>
      </w:r>
    </w:p>
    <w:p>
      <w:pPr>
        <w:pStyle w:val="ListParagraph"/>
        <w:numPr>
          <w:ilvl w:val="0"/>
          <w:numId w:val="2"/>
        </w:numPr>
        <w:spacing w:after="80"/>
      </w:pPr>
      <w:r>
        <w:t xml:space="preserve">Headlines: A serif with character. Consider Editorial New, Freight Display, or similar. Serif headlines signal trust and establishment to an older audience while remaining distinctive enough to avoid looking like a law firm.</w:t>
      </w:r>
    </w:p>
    <w:p>
      <w:pPr>
        <w:pStyle w:val="ListParagraph"/>
        <w:numPr>
          <w:ilvl w:val="0"/>
          <w:numId w:val="2"/>
        </w:numPr>
        <w:spacing w:after="80"/>
      </w:pPr>
      <w:r>
        <w:t xml:space="preserve">Body: A clean sans-serif. Inter, Satoshi, or similar. Highly readable at small sizes.</w:t>
      </w:r>
    </w:p>
    <w:p>
      <w:pPr>
        <w:pStyle w:val="ListParagraph"/>
        <w:numPr>
          <w:ilvl w:val="0"/>
          <w:numId w:val="2"/>
        </w:numPr>
        <w:spacing w:after="80"/>
      </w:pPr>
      <w:r>
        <w:t xml:space="preserve">Monospace: JetBrains Mono or similar, used only for technical callouts or code snippets if needed.</w:t>
      </w:r>
    </w:p>
    <w:p>
      <w:pPr>
        <w:pStyle w:val="ListParagraph"/>
        <w:numPr>
          <w:ilvl w:val="0"/>
          <w:numId w:val="2"/>
        </w:numPr>
        <w:spacing w:after="80"/>
      </w:pPr>
      <w:r>
        <w:t xml:space="preserve">Size hierarchy must be dramatic. H1 should feel like a statement. Body text should feel comfortable to read on a 14-inch laptop.</w:t>
      </w:r>
    </w:p>
    <w:p>
      <w:pPr>
        <w:pStyle w:val="Heading3"/>
      </w:pPr>
      <w:r>
        <w:t xml:space="preserve">Visual Elements</w:t>
      </w:r>
    </w:p>
    <w:p>
      <w:pPr>
        <w:pStyle w:val="ListParagraph"/>
        <w:numPr>
          <w:ilvl w:val="0"/>
          <w:numId w:val="2"/>
        </w:numPr>
        <w:spacing w:after="80"/>
      </w:pPr>
      <w:r>
        <w:t xml:space="preserve">Photography over illustration. Real workspaces, real hardware (Mac Minis, recording pins), real whiteboards. If stock, it needs to feel unstaged.</w:t>
      </w:r>
    </w:p>
    <w:p>
      <w:pPr>
        <w:pStyle w:val="ListParagraph"/>
        <w:numPr>
          <w:ilvl w:val="0"/>
          <w:numId w:val="2"/>
        </w:numPr>
        <w:spacing w:after="80"/>
      </w:pPr>
      <w:r>
        <w:t xml:space="preserve">Subtle motion: Framer Motion-style scroll animations—elements that reveal on scroll, parallax on the case study section, smooth page transitions. Nothing that bounces, pulses, or demands attention.</w:t>
      </w:r>
    </w:p>
    <w:p>
      <w:pPr>
        <w:pStyle w:val="ListParagraph"/>
        <w:numPr>
          <w:ilvl w:val="0"/>
          <w:numId w:val="2"/>
        </w:numPr>
        <w:spacing w:after="80"/>
      </w:pPr>
      <w:r>
        <w:t xml:space="preserve">The Cuban video embed should feel integrated into the page flow, not like a YouTube iframe dropped into a section.</w:t>
      </w:r>
    </w:p>
    <w:p>
      <w:r>
        <w:br w:type="page"/>
      </w:r>
    </w:p>
    <w:p>
      <w:pPr>
        <w:pStyle w:val="Heading1"/>
      </w:pPr>
      <w:r>
        <w:t xml:space="preserve">3. Technical Specification</w:t>
      </w:r>
    </w:p>
    <w:p>
      <w:pPr>
        <w:pStyle w:val="Heading2"/>
      </w:pPr>
      <w:r>
        <w:t xml:space="preserve">3.1 Framework &amp; Stack</w:t>
      </w:r>
    </w:p>
    <w:p>
      <w:pPr>
        <w:pStyle w:val="ListParagraph"/>
        <w:numPr>
          <w:ilvl w:val="0"/>
          <w:numId w:val="2"/>
        </w:numPr>
        <w:spacing w:after="80"/>
      </w:pPr>
      <w:r>
        <w:t xml:space="preserve">Astro for the build. Static-first, fast rendering, minimal JS shipped to the client. This is a content site, not a web app—Astro is the right call.</w:t>
      </w:r>
    </w:p>
    <w:p>
      <w:pPr>
        <w:pStyle w:val="ListParagraph"/>
        <w:numPr>
          <w:ilvl w:val="0"/>
          <w:numId w:val="2"/>
        </w:numPr>
        <w:spacing w:after="80"/>
      </w:pPr>
      <w:r>
        <w:t xml:space="preserve">Svelte components for interactive elements. Spencer already has a repo with Framer Motion-style animations in Svelte—pull from that.</w:t>
      </w:r>
    </w:p>
    <w:p>
      <w:pPr>
        <w:pStyle w:val="ListParagraph"/>
        <w:numPr>
          <w:ilvl w:val="0"/>
          <w:numId w:val="2"/>
        </w:numPr>
        <w:spacing w:after="80"/>
      </w:pPr>
      <w:r>
        <w:t xml:space="preserve">Arman’s PrismTech.ai repo is available as a reference/starting point for structure and component patterns.</w:t>
      </w:r>
    </w:p>
    <w:p>
      <w:pPr>
        <w:pStyle w:val="ListParagraph"/>
        <w:numPr>
          <w:ilvl w:val="0"/>
          <w:numId w:val="2"/>
        </w:numPr>
        <w:spacing w:after="80"/>
      </w:pPr>
      <w:r>
        <w:t xml:space="preserve">No React unless there’s a specific component that demands it. Keep the JS footprint as small as possible.</w:t>
      </w:r>
    </w:p>
    <w:p>
      <w:pPr>
        <w:pStyle w:val="ListParagraph"/>
        <w:numPr>
          <w:ilvl w:val="0"/>
          <w:numId w:val="2"/>
        </w:numPr>
        <w:spacing w:after="80"/>
      </w:pPr>
      <w:r>
        <w:t xml:space="preserve">Tailwind CSS for styling. Utility-first, fast iteration, no custom CSS files to maintain.</w:t>
      </w:r>
    </w:p>
    <w:p>
      <w:pPr>
        <w:pStyle w:val="ListParagraph"/>
        <w:numPr>
          <w:ilvl w:val="0"/>
          <w:numId w:val="2"/>
        </w:numPr>
        <w:spacing w:after="80"/>
      </w:pPr>
      <w:r>
        <w:t xml:space="preserve">Deploy to Vercel or Cloudflare Pages. Sub-second initial load is the target.</w:t>
      </w:r>
    </w:p>
    <w:p>
      <w:pPr>
        <w:pStyle w:val="Heading2"/>
      </w:pPr>
      <w:r>
        <w:t xml:space="preserve">3.2 Page Structure</w:t>
      </w:r>
    </w:p>
    <w:p>
      <w:pPr>
        <w:spacing w:after="160" w:line="276"/>
      </w:pPr>
      <w:r>
        <w:t xml:space="preserve">Single-page site with distinct sections, plus a separate /case-study/freeaxez page. No multi-page navigation beyond that. The site should feel like a scroll-driven story.</w:t>
      </w:r>
    </w:p>
    <w:p>
      <w:pPr>
        <w:pStyle w:val="Heading3"/>
      </w:pPr>
      <w:r>
        <w:t xml:space="preserve">Section Order</w:t>
      </w:r>
    </w:p>
    <w:p>
      <w:pPr>
        <w:spacing w:after="160" w:line="276"/>
      </w:pPr>
      <w:r>
        <w:rPr>
          <w:b/>
          <w:bCs/>
        </w:rPr>
        <w:t xml:space="preserve">1. Hero</w:t>
      </w:r>
    </w:p>
    <w:p>
      <w:pPr>
        <w:spacing w:after="160" w:line="276"/>
      </w:pPr>
      <w:r>
        <w:t xml:space="preserve">Headline + subhead + single CTA. No animation on hero load—the text should be immediately readable. The headline must pass the “could this appear on any other AI consulting site?” test. If yes, rewrite it.</w:t>
      </w:r>
    </w:p>
    <w:p>
      <w:pPr>
        <w:spacing w:after="160" w:line="276"/>
      </w:pPr>
      <w:r>
        <w:rPr>
          <w:b/>
          <w:bCs/>
        </w:rPr>
        <w:t xml:space="preserve">2. Problem</w:t>
      </w:r>
    </w:p>
    <w:p>
      <w:pPr>
        <w:spacing w:after="160" w:line="276"/>
      </w:pPr>
      <w:r>
        <w:t xml:space="preserve">Make the pain vivid. Not abstract (“knowledge management challenges”) but concrete (“your COO reviews every design because nobody else has 20 years of context”). Use the Katie’s Gut story pattern—show the problem through a specific, real situation.</w:t>
      </w:r>
    </w:p>
    <w:p>
      <w:pPr>
        <w:spacing w:after="160" w:line="276"/>
      </w:pPr>
      <w:r>
        <w:rPr>
          <w:b/>
          <w:bCs/>
        </w:rPr>
        <w:t xml:space="preserve">3. What We Do</w:t>
      </w:r>
    </w:p>
    <w:p>
      <w:pPr>
        <w:spacing w:after="160" w:line="276"/>
      </w:pPr>
      <w:r>
        <w:t xml:space="preserve">Three offerings, explained in plain language. RAG systems, QC pre-flight, knowledge capture. No jargon unless immediately defined. Each offering tied to a specific pain point, not described in the abstract.</w:t>
      </w:r>
    </w:p>
    <w:p>
      <w:pPr>
        <w:spacing w:after="160" w:line="276"/>
      </w:pPr>
      <w:r>
        <w:rPr>
          <w:b/>
          <w:bCs/>
        </w:rPr>
        <w:t xml:space="preserve">4. Cuban Video Section</w:t>
      </w:r>
    </w:p>
    <w:p>
      <w:pPr>
        <w:spacing w:after="160" w:line="276"/>
      </w:pPr>
      <w:r>
        <w:t xml:space="preserve">Full-width or near-full-width embedded video of Mark Cuban’s TBPN appearance (Episode 193, starts at 2:31:59 / 9119 seconds). Framed with a pull quote and brief context. This section does the selling that Aiscend shouldn’t do for itself—a billionaire saying exactly what Aiscend delivers.</w:t>
      </w:r>
    </w:p>
    <w:p>
      <w:pPr>
        <w:spacing w:after="160" w:line="276"/>
      </w:pPr>
      <w:r>
        <w:rPr>
          <w:b/>
          <w:bCs/>
        </w:rPr>
        <w:t xml:space="preserve">5. Proof / Case Study Preview</w:t>
      </w:r>
    </w:p>
    <w:p>
      <w:pPr>
        <w:spacing w:after="160" w:line="276"/>
      </w:pPr>
      <w:r>
        <w:t xml:space="preserve">FreeAxez case study with hard numbers. Contract value, error reduction, system descriptions. Links to the full case study page. If BYH or other engagements have publishable details, add them here as secondary proof.</w:t>
      </w:r>
    </w:p>
    <w:p>
      <w:pPr>
        <w:spacing w:after="160" w:line="276"/>
      </w:pPr>
      <w:r>
        <w:rPr>
          <w:b/>
          <w:bCs/>
        </w:rPr>
        <w:t xml:space="preserve">6. Team</w:t>
      </w:r>
    </w:p>
    <w:p>
      <w:pPr>
        <w:spacing w:after="160" w:line="276"/>
      </w:pPr>
      <w:r>
        <w:t xml:space="preserve">Brief bios. Spencer, Connor, Arman. Photos. No “passionate about AI” filler—each bio should say what they actually do and why it matters. Spencer’s discovery and systems thinking, Connor’s ML and technical execution, Arman’s data science and automation.</w:t>
      </w:r>
    </w:p>
    <w:p>
      <w:pPr>
        <w:spacing w:after="160" w:line="276"/>
      </w:pPr>
      <w:r>
        <w:rPr>
          <w:b/>
          <w:bCs/>
        </w:rPr>
        <w:t xml:space="preserve">7. Contact / CTA</w:t>
      </w:r>
    </w:p>
    <w:p>
      <w:pPr>
        <w:spacing w:after="160" w:line="276"/>
      </w:pPr>
      <w:r>
        <w:t xml:space="preserve">Book a call. Simple scheduling embed (Calendly or Cal.com). Short reinforcing line. No form with 8 fields—just let them book.</w:t>
      </w:r>
    </w:p>
    <w:p>
      <w:pPr>
        <w:pStyle w:val="Heading2"/>
      </w:pPr>
      <w:r>
        <w:t xml:space="preserve">3.3 Cuban Video Implementation</w:t>
      </w:r>
    </w:p>
    <w:p>
      <w:pPr>
        <w:spacing w:after="160" w:line="276"/>
      </w:pPr>
      <w:r>
        <w:t xml:space="preserve">The target clip is from TBPN Episode 193 (August 20, 2025). Mark Cuban’s segment begins at 2:31:59 (9119 seconds into the 3h33m episode). The YouTube channel is @technologybrotherspod.</w:t>
      </w:r>
    </w:p>
    <w:p>
      <w:pPr>
        <w:pStyle w:val="Heading3"/>
      </w:pPr>
      <w:r>
        <w:t xml:space="preserve">Finding the Video ID</w:t>
      </w:r>
    </w:p>
    <w:p>
      <w:pPr>
        <w:spacing w:after="160" w:line="276"/>
      </w:pPr>
      <w:r>
        <w:t xml:space="preserve">Search YouTube for “TBPN Episode 193 Mark Cuban Vlad Tenev” on the @technologybrotherspod channel. The episode is approximately 3 hours 33 minutes long. Once you have the video ID, the embed URL is:</w:t>
      </w:r>
    </w:p>
    <w:p>
      <w:pPr>
        <w:spacing w:after="160" w:line="276"/>
      </w:pPr>
      <w:r>
        <w:rPr>
          <w:rFonts w:ascii="Courier New" w:cs="Courier New" w:eastAsia="Courier New" w:hAnsi="Courier New"/>
          <w:sz w:val="20"/>
          <w:szCs w:val="20"/>
        </w:rPr>
        <w:t xml:space="preserve">https://www.youtube.com/embed/[VIDEO_ID]?start=9119</w:t>
      </w:r>
    </w:p>
    <w:p>
      <w:pPr>
        <w:pStyle w:val="Heading3"/>
      </w:pPr>
      <w:r>
        <w:t xml:space="preserve">Self-Hosting Option (Higher Fidelity)</w:t>
      </w:r>
    </w:p>
    <w:p>
      <w:pPr>
        <w:spacing w:after="160" w:line="276"/>
      </w:pPr>
      <w:r>
        <w:t xml:space="preserve">For better control over the player UI and loading performance, consider self-hosting the clip:</w:t>
      </w:r>
    </w:p>
    <w:p>
      <w:pPr>
        <w:pStyle w:val="ListParagraph"/>
        <w:numPr>
          <w:ilvl w:val="0"/>
          <w:numId w:val="2"/>
        </w:numPr>
        <w:spacing w:after="80"/>
      </w:pPr>
      <w:r>
        <w:t xml:space="preserve">Use yt-dlp --download-sections '*2:31:59-2:45:00' [VIDEO_URL] to extract just the Cuban segment</w:t>
      </w:r>
    </w:p>
    <w:p>
      <w:pPr>
        <w:pStyle w:val="ListParagraph"/>
        <w:numPr>
          <w:ilvl w:val="0"/>
          <w:numId w:val="2"/>
        </w:numPr>
        <w:spacing w:after="80"/>
      </w:pPr>
      <w:r>
        <w:t xml:space="preserve">Convert to WebM and MP4 for browser compatibility</w:t>
      </w:r>
    </w:p>
    <w:p>
      <w:pPr>
        <w:pStyle w:val="ListParagraph"/>
        <w:numPr>
          <w:ilvl w:val="0"/>
          <w:numId w:val="2"/>
        </w:numPr>
        <w:spacing w:after="80"/>
      </w:pPr>
      <w:r>
        <w:t xml:space="preserve">Use a custom video player component in Svelte for seamless integration with the page design</w:t>
      </w:r>
    </w:p>
    <w:p>
      <w:pPr>
        <w:pStyle w:val="ListParagraph"/>
        <w:numPr>
          <w:ilvl w:val="0"/>
          <w:numId w:val="2"/>
        </w:numPr>
        <w:spacing w:after="80"/>
      </w:pPr>
      <w:r>
        <w:t xml:space="preserve">Always link back to the full episode as attribution</w:t>
      </w:r>
    </w:p>
    <w:p>
      <w:pPr>
        <w:pStyle w:val="Heading3"/>
      </w:pPr>
      <w:r>
        <w:t xml:space="preserve">Framing Copy</w:t>
      </w:r>
    </w:p>
    <w:p>
      <w:pPr>
        <w:spacing w:after="160" w:line="276"/>
      </w:pPr>
      <w:r>
        <w:t xml:space="preserve">The video should be introduced with context that connects Cuban’s message to Aiscend’s work. Something like:</w:t>
      </w:r>
    </w:p>
    <w:p>
      <w:pPr>
        <w:spacing w:after="160" w:line="276"/>
      </w:pPr>
      <w:r>
        <w:rPr>
          <w:sz w:val="24"/>
          <w:szCs w:val="24"/>
        </w:rPr>
        <w:t xml:space="preserve">“There are 33 million companies in this country. They all need this.”</w:t>
      </w:r>
    </w:p>
    <w:p>
      <w:pPr>
        <w:spacing w:after="160" w:line="276"/>
      </w:pPr>
      <w:r>
        <w:t xml:space="preserve">Then a short line: Mark Cuban describes exactly what Aiscend does—walking into established businesses and translating AI capabilities into real operational value. We’ve been doing this for two and a half years.</w:t>
      </w:r>
    </w:p>
    <w:p>
      <w:r>
        <w:br w:type="page"/>
      </w:r>
    </w:p>
    <w:p>
      <w:pPr>
        <w:pStyle w:val="Heading1"/>
      </w:pPr>
      <w:r>
        <w:t xml:space="preserve">4. Full Site Copy</w:t>
      </w:r>
    </w:p>
    <w:p>
      <w:pPr>
        <w:pStyle w:val="Heading2"/>
      </w:pPr>
      <w:r>
        <w:t xml:space="preserve">4.1 Hero</w:t>
      </w:r>
    </w:p>
    <w:p>
      <w:pPr>
        <w:spacing w:after="160" w:line="276"/>
      </w:pPr>
      <w:r>
        <w:rPr>
          <w:b/>
          <w:bCs/>
        </w:rPr>
        <w:t xml:space="preserve">Headline:</w:t>
      </w:r>
      <w:r>
        <w:t xml:space="preserve"> Your best people can’t explain what they know.</w:t>
      </w:r>
    </w:p>
    <w:p>
      <w:pPr>
        <w:spacing w:after="160" w:line="276"/>
      </w:pPr>
      <w:r>
        <w:rPr>
          <w:b/>
          <w:bCs/>
        </w:rPr>
        <w:t xml:space="preserve">Subhead:</w:t>
      </w:r>
      <w:r>
        <w:t xml:space="preserve"> We sit with your experts, map how they actually think, and build AI systems around their real workflows. No reports. Working software.</w:t>
      </w:r>
    </w:p>
    <w:p>
      <w:pPr>
        <w:spacing w:after="160" w:line="276"/>
      </w:pPr>
      <w:r>
        <w:rPr>
          <w:b/>
          <w:bCs/>
        </w:rPr>
        <w:t xml:space="preserve">CTA:</w:t>
      </w:r>
      <w:r>
        <w:t xml:space="preserve"> Talk to Us</w:t>
      </w:r>
    </w:p>
    <w:p>
      <w:pPr>
        <w:pStyle w:val="Heading2"/>
      </w:pPr>
      <w:r>
        <w:t xml:space="preserve">4.2 Problem Section</w:t>
      </w:r>
    </w:p>
    <w:p>
      <w:pPr>
        <w:spacing w:after="160" w:line="276"/>
      </w:pPr>
      <w:r>
        <w:rPr>
          <w:b/>
          <w:bCs/>
        </w:rPr>
        <w:t xml:space="preserve">Section header:</w:t>
      </w:r>
      <w:r>
        <w:t xml:space="preserve"> The knowledge that runs your business isn’t in your systems.</w:t>
      </w:r>
    </w:p>
    <w:p>
      <w:pPr>
        <w:spacing w:after="160" w:line="276"/>
      </w:pPr>
      <w:r>
        <w:t xml:space="preserve">Your best employee reviews every design because she’s the only person with 20 years of context. Your estimator prices jobs from gut feel trained over decades of wins and losses. Your retiring project manager carries institutional memory that no handbook has ever captured.</w:t>
      </w:r>
    </w:p>
    <w:p>
      <w:pPr>
        <w:spacing w:after="160" w:line="276"/>
      </w:pPr>
      <w:r>
        <w:t xml:space="preserve">This knowledge is the most valuable thing in your company. And right now it’s walking out the door every evening, hoping to come back tomorrow.</w:t>
      </w:r>
    </w:p>
    <w:p>
      <w:pPr>
        <w:spacing w:after="160" w:line="276"/>
      </w:pPr>
      <w:r>
        <w:t xml:space="preserve">You’ve heard you need AI. Everyone’s heard that. The problem is that nobody asking “how can we use AI?” is asking the right question. The right question is: what does your best person know that nobody else knows, and how do we make that knowledge available to everyone?</w:t>
      </w:r>
    </w:p>
    <w:p>
      <w:pPr>
        <w:pStyle w:val="Heading2"/>
      </w:pPr>
      <w:r>
        <w:t xml:space="preserve">4.3 What We Do</w:t>
      </w:r>
    </w:p>
    <w:p>
      <w:pPr>
        <w:spacing w:after="160" w:line="276"/>
      </w:pPr>
      <w:r>
        <w:rPr>
          <w:b/>
          <w:bCs/>
        </w:rPr>
        <w:t xml:space="preserve">Section header:</w:t>
      </w:r>
      <w:r>
        <w:t xml:space="preserve"> We capture what your experts know and build systems around it.</w:t>
      </w:r>
    </w:p>
    <w:p>
      <w:pPr>
        <w:pStyle w:val="Heading3"/>
      </w:pPr>
      <w:r>
        <w:t xml:space="preserve">Discovery</w:t>
      </w:r>
    </w:p>
    <w:p>
      <w:pPr>
        <w:spacing w:after="160" w:line="276"/>
      </w:pPr>
      <w:r>
        <w:t xml:space="preserve">We start by spending time with your team. Not running workshops or sending surveys—actually sitting with the people who do the work, watching their process, asking probing questions that force them to articulate decisions they’ve been making on autopilot for years. We call it workflow mapping, but it’s closer to forensic interviewing. We even use recording devices and screen capture tools to catch the micro-decisions that people can’t consciously explain.</w:t>
      </w:r>
    </w:p>
    <w:p>
      <w:pPr>
        <w:spacing w:after="160" w:line="276"/>
      </w:pPr>
      <w:r>
        <w:t xml:space="preserve">One client had a step in their workflow they called “Katie’s gut.” Four hours of conversation later, we’d mapped a decision-making process built on 20 years of supply chain pattern recognition that nobody had ever documented. That’s the kind of knowledge we find.</w:t>
      </w:r>
    </w:p>
    <w:p>
      <w:pPr>
        <w:pStyle w:val="Heading3"/>
      </w:pPr>
      <w:r>
        <w:t xml:space="preserve">Knowledge Systems</w:t>
      </w:r>
    </w:p>
    <w:p>
      <w:pPr>
        <w:spacing w:after="160" w:line="276"/>
      </w:pPr>
      <w:r>
        <w:t xml:space="preserve">We build RAG systems that index your accumulated history—project files, correspondence, documentation, call transcripts—making decades of institutional knowledge searchable through plain language questions. Your junior employee can ask “how did we handle this situation in 2019?” and get an answer with source documents in seconds, not hours.</w:t>
      </w:r>
    </w:p>
    <w:p>
      <w:pPr>
        <w:pStyle w:val="Heading3"/>
      </w:pPr>
      <w:r>
        <w:t xml:space="preserve">Quality Pre-Flight</w:t>
      </w:r>
    </w:p>
    <w:p>
      <w:pPr>
        <w:spacing w:after="160" w:line="276"/>
      </w:pPr>
      <w:r>
        <w:t xml:space="preserve">For companies where a senior person reviews every output, we build AI-powered quality checks that catch the repetitive errors before work reaches the expert reviewer. Your best person stops wasting time on problems that don’t require their judgment and focuses on the ones that do. One client had 11 review cycles per design. We’re building a system to cut that in half.</w:t>
      </w:r>
    </w:p>
    <w:p>
      <w:pPr>
        <w:pStyle w:val="Heading3"/>
      </w:pPr>
      <w:r>
        <w:t xml:space="preserve">Knowledge Capture</w:t>
      </w:r>
    </w:p>
    <w:p>
      <w:pPr>
        <w:spacing w:after="160" w:line="276"/>
      </w:pPr>
      <w:r>
        <w:t xml:space="preserve">Wearable recording devices and custom software that capture expert decision-making as it happens—not in an interview room, but in the actual workflow. Your retiring specialist’s 30 years of accumulated wisdom becomes a searchable, trainable dataset instead of a farewell lunch and a box of files.</w:t>
      </w:r>
    </w:p>
    <w:p>
      <w:pPr>
        <w:pStyle w:val="Heading2"/>
      </w:pPr>
      <w:r>
        <w:t xml:space="preserve">4.4 Cuban Section</w:t>
      </w:r>
    </w:p>
    <w:p>
      <w:pPr>
        <w:spacing w:after="160" w:line="276"/>
      </w:pPr>
      <w:r>
        <w:rPr>
          <w:b/>
          <w:bCs/>
        </w:rPr>
        <w:t xml:space="preserve">Section header:</w:t>
      </w:r>
      <w:r>
        <w:t xml:space="preserve"> “There are 33 million companies in this country. They all need this.”</w:t>
      </w:r>
    </w:p>
    <w:p>
      <w:pPr>
        <w:spacing w:after="160" w:line="276"/>
      </w:pPr>
      <w:r>
        <w:t xml:space="preserve">Mark Cuban on TBPN, August 2025. He describes the exact opportunity Aiscend has been executing on for two and a half years: young, technical teams walking into established businesses and translating AI capabilities into operational value. Companies don’t need to understand AI. They need someone who understands their business and can build around it.</w:t>
      </w:r>
    </w:p>
    <w:p>
      <w:pPr>
        <w:spacing w:after="160" w:line="276"/>
      </w:pPr>
      <w:r>
        <w:rPr>
          <w:color w:val="999999"/>
        </w:rPr>
        <w:t xml:space="preserve">[VIDEO EMBED HERE]</w:t>
      </w:r>
    </w:p>
    <w:p>
      <w:pPr>
        <w:pStyle w:val="Heading2"/>
      </w:pPr>
      <w:r>
        <w:t xml:space="preserve">4.5 Proof Section</w:t>
      </w:r>
    </w:p>
    <w:p>
      <w:pPr>
        <w:spacing w:after="160" w:line="276"/>
      </w:pPr>
      <w:r>
        <w:rPr>
          <w:b/>
          <w:bCs/>
        </w:rPr>
        <w:t xml:space="preserve">Section header:</w:t>
      </w:r>
      <w:r>
        <w:t xml:space="preserve"> What we’ve built.</w:t>
      </w:r>
    </w:p>
    <w:p>
      <w:pPr>
        <w:pStyle w:val="Heading3"/>
      </w:pPr>
      <w:r>
        <w:t xml:space="preserve">FreeAxez</w:t>
      </w:r>
    </w:p>
    <w:p>
      <w:pPr>
        <w:spacing w:after="160" w:line="276"/>
      </w:pPr>
      <w:r>
        <w:rPr>
          <w:b/>
          <w:bCs/>
        </w:rPr>
        <w:t xml:space="preserve">30-year floor infrastructure company. Clients include Disney, Apple, and Google.</w:t>
      </w:r>
    </w:p>
    <w:p>
      <w:pPr>
        <w:spacing w:after="160" w:line="276"/>
      </w:pPr>
      <w:r>
        <w:t xml:space="preserve">Their COO was the bottleneck—reviewing every design through 11 quality control cycles. Their institutional knowledge lived in two people’s heads. After intensive on-site discovery, we’re building three integrated systems:</w:t>
      </w:r>
    </w:p>
    <w:p>
      <w:pPr>
        <w:pStyle w:val="ListParagraph"/>
        <w:numPr>
          <w:ilvl w:val="0"/>
          <w:numId w:val="2"/>
        </w:numPr>
        <w:spacing w:after="80"/>
      </w:pPr>
      <w:r>
        <w:t xml:space="preserve">QC pre-flight scanner targeting 50% of errors caught before human review</w:t>
      </w:r>
    </w:p>
    <w:p>
      <w:pPr>
        <w:pStyle w:val="ListParagraph"/>
        <w:numPr>
          <w:ilvl w:val="0"/>
          <w:numId w:val="2"/>
        </w:numPr>
        <w:spacing w:after="80"/>
      </w:pPr>
      <w:r>
        <w:t xml:space="preserve">RAG system indexing 20 years of project history</w:t>
      </w:r>
    </w:p>
    <w:p>
      <w:pPr>
        <w:pStyle w:val="ListParagraph"/>
        <w:numPr>
          <w:ilvl w:val="0"/>
          <w:numId w:val="2"/>
        </w:numPr>
        <w:spacing w:after="80"/>
      </w:pPr>
      <w:r>
        <w:t xml:space="preserve">OMI-based knowledge capture preserving retiring experts’ decision-making</w:t>
      </w:r>
    </w:p>
    <w:p>
      <w:pPr>
        <w:spacing w:after="160" w:line="276"/>
      </w:pPr>
      <w:r>
        <w:rPr>
          <w:b/>
          <w:bCs/>
        </w:rPr>
        <w:t xml:space="preserve">Contract value: $45K+</w:t>
      </w:r>
      <w:r>
        <w:t xml:space="preserve"> with ongoing maintenance.</w:t>
      </w:r>
    </w:p>
    <w:p>
      <w:pPr>
        <w:pStyle w:val="Heading2"/>
      </w:pPr>
      <w:r>
        <w:t xml:space="preserve">4.6 Team Section</w:t>
      </w:r>
    </w:p>
    <w:p>
      <w:pPr>
        <w:spacing w:after="160" w:line="276"/>
      </w:pPr>
      <w:r>
        <w:rPr>
          <w:b/>
          <w:bCs/>
        </w:rPr>
        <w:t xml:space="preserve">Section header:</w:t>
      </w:r>
      <w:r>
        <w:t xml:space="preserve"> Who we are.</w:t>
      </w:r>
    </w:p>
    <w:p>
      <w:pPr>
        <w:spacing w:after="160" w:line="276"/>
      </w:pPr>
      <w:r>
        <w:rPr>
          <w:b/>
          <w:bCs/>
        </w:rPr>
        <w:t xml:space="preserve">Spencer Karns</w:t>
      </w:r>
      <w:r>
        <w:t xml:space="preserve"> — Co-founder. Runs discovery, client relationships, and systems architecture. Started by upskilling C-suites on AI, realized the real value was in building the systems, not explaining them. Has mapped workflows for companies from $5M to $400M+ in revenue across engineering, medical, real estate, and defense.</w:t>
      </w:r>
    </w:p>
    <w:p>
      <w:pPr>
        <w:spacing w:after="160" w:line="276"/>
      </w:pPr>
      <w:r>
        <w:rPr>
          <w:b/>
          <w:bCs/>
        </w:rPr>
        <w:t xml:space="preserve">Connor Raney</w:t>
      </w:r>
      <w:r>
        <w:t xml:space="preserve"> — Co-founder &amp; Technical Lead. Machine learning, system design, and the infrastructure that makes autonomous agent workflows actually run. Builds the backends that turn discovery insights into working software.</w:t>
      </w:r>
    </w:p>
    <w:p>
      <w:pPr>
        <w:spacing w:after="160" w:line="276"/>
      </w:pPr>
      <w:r>
        <w:rPr>
          <w:b/>
          <w:bCs/>
        </w:rPr>
        <w:t xml:space="preserve">Arman Ozsu</w:t>
      </w:r>
      <w:r>
        <w:t xml:space="preserve"> — ML &amp; Development. Data science, predictive analytics, and automation. Brings the quantitative rigor that turns messy enterprise data into structured, trainable systems.</w:t>
      </w:r>
    </w:p>
    <w:p>
      <w:pPr>
        <w:pStyle w:val="Heading2"/>
      </w:pPr>
      <w:r>
        <w:t xml:space="preserve">4.7 Contact Section</w:t>
      </w:r>
    </w:p>
    <w:p>
      <w:pPr>
        <w:spacing w:after="160" w:line="276"/>
      </w:pPr>
      <w:r>
        <w:rPr>
          <w:b/>
          <w:bCs/>
        </w:rPr>
        <w:t xml:space="preserve">Headline:</w:t>
      </w:r>
      <w:r>
        <w:t xml:space="preserve"> Let’s see if there’s something worth building.</w:t>
      </w:r>
    </w:p>
    <w:p>
      <w:pPr>
        <w:spacing w:after="160" w:line="276"/>
      </w:pPr>
      <w:r>
        <w:t xml:space="preserve">No pitch deck. No 47-slide proposal. We’ll talk about what’s actually going on in your business and figure out if we can help. If we can’t, or if it’s not worth your time and money, we’ll tell you.</w:t>
      </w:r>
    </w:p>
    <w:p>
      <w:pPr>
        <w:spacing w:after="160" w:line="276"/>
      </w:pPr>
      <w:r>
        <w:rPr>
          <w:b/>
          <w:bCs/>
        </w:rPr>
        <w:t xml:space="preserve">CTA button:</w:t>
      </w:r>
      <w:r>
        <w:t xml:space="preserve"> Book a Call</w:t>
      </w:r>
    </w:p>
    <w:p>
      <w:r>
        <w:br w:type="page"/>
      </w:r>
    </w:p>
    <w:p>
      <w:pPr>
        <w:pStyle w:val="Heading1"/>
      </w:pPr>
      <w:r>
        <w:t xml:space="preserve">5. Voice &amp; Brand Context</w:t>
      </w:r>
    </w:p>
    <w:p>
      <w:pPr>
        <w:pStyle w:val="Heading2"/>
      </w:pPr>
      <w:r>
        <w:t xml:space="preserve">5.1 How Spencer Actually Talks About the Work</w:t>
      </w:r>
    </w:p>
    <w:p>
      <w:pPr>
        <w:spacing w:after="160" w:line="276"/>
      </w:pPr>
      <w:r>
        <w:t xml:space="preserve">The Conan Cooper transcript from February 27, 2025 is the best sample of how Aiscend describes itself when there’s no marketing filter. Key moments that define the voice:</w:t>
      </w:r>
    </w:p>
    <w:p>
      <w:pPr>
        <w:spacing w:after="160" w:line="276"/>
      </w:pPr>
      <w:r>
        <w:rPr>
          <w:b/>
          <w:bCs/>
        </w:rPr>
        <w:t xml:space="preserve">On discovery:</w:t>
      </w:r>
      <w:r>
        <w:t xml:space="preserve"> “We really like, I guess I’ve learned how to create and ask on the spot probing questions that are forcing people to be extremely explicit with their internal chain of thought.”</w:t>
      </w:r>
    </w:p>
    <w:p>
      <w:pPr>
        <w:spacing w:after="160" w:line="276"/>
      </w:pPr>
      <w:r>
        <w:rPr>
          <w:b/>
          <w:bCs/>
        </w:rPr>
        <w:t xml:space="preserve">On the work:</w:t>
      </w:r>
      <w:r>
        <w:t xml:space="preserve"> “It’s very hard to articulate, frankly, what we do. So in that regard, like a lot of it is hands-on consulting work. And it’s not like traditional consulting.”</w:t>
      </w:r>
    </w:p>
    <w:p>
      <w:pPr>
        <w:spacing w:after="160" w:line="276"/>
      </w:pPr>
      <w:r>
        <w:rPr>
          <w:b/>
          <w:bCs/>
        </w:rPr>
        <w:t xml:space="preserve">On selling:</w:t>
      </w:r>
      <w:r>
        <w:t xml:space="preserve"> “I don’t really try to sell too much anymore. Either there’s going to be something I can build for you and you have a problem and I can build around that problem, or I can’t.”</w:t>
      </w:r>
    </w:p>
    <w:p>
      <w:pPr>
        <w:spacing w:after="160" w:line="276"/>
      </w:pPr>
      <w:r>
        <w:rPr>
          <w:b/>
          <w:bCs/>
        </w:rPr>
        <w:t xml:space="preserve">On the craft:</w:t>
      </w:r>
      <w:r>
        <w:t xml:space="preserve"> “It’s almost like clay, right? It’s pottery, the kind of art that we do in this business.”</w:t>
      </w:r>
    </w:p>
    <w:p>
      <w:pPr>
        <w:spacing w:after="160" w:line="276"/>
      </w:pPr>
      <w:r>
        <w:rPr>
          <w:b/>
          <w:bCs/>
        </w:rPr>
        <w:t xml:space="preserve">On human nuance:</w:t>
      </w:r>
      <w:r>
        <w:t xml:space="preserve"> “If you can’t get people to articulate why and how they even think to do things, then you’re not going to be able to build a system that performs anything near the taste and that closeness that a human has.”</w:t>
      </w:r>
    </w:p>
    <w:p>
      <w:pPr>
        <w:spacing w:after="160" w:line="276"/>
      </w:pPr>
      <w:r>
        <w:t xml:space="preserve">The site copy should feel like this register cleaned up about 15%—slightly more polished, but with the same directness, the same willingness to say “we can’t” or “it’s not worth your money.”</w:t>
      </w:r>
    </w:p>
    <w:p>
      <w:pPr>
        <w:pStyle w:val="Heading2"/>
      </w:pPr>
      <w:r>
        <w:t xml:space="preserve">5.2 External Validation (Conan Cooper’s Reaction)</w:t>
      </w:r>
    </w:p>
    <w:p>
      <w:pPr>
        <w:spacing w:after="160" w:line="276"/>
      </w:pPr>
      <w:r>
        <w:t xml:space="preserve">Conan Cooper, Head of Strategy at New York Life (Group Benefits), came into the call expecting a sales pitch and left offering to connect Aiscend with his network. His reactions are the best proof that the value prop lands:</w:t>
      </w:r>
    </w:p>
    <w:p>
      <w:pPr>
        <w:spacing w:after="160" w:line="276"/>
      </w:pPr>
      <w:r>
        <w:rPr>
          <w:b/>
          <w:bCs/>
        </w:rPr>
        <w:t xml:space="preserve">On the nuance capture:</w:t>
      </w:r>
      <w:r>
        <w:t xml:space="preserve"> “Recording them and then prompting them to be like, oh, why did I call them? It makes a lot of sense to me. And the idea that we’re rolling out just now is not that kind of approach.”</w:t>
      </w:r>
    </w:p>
    <w:p>
      <w:pPr>
        <w:spacing w:after="160" w:line="276"/>
      </w:pPr>
      <w:r>
        <w:rPr>
          <w:b/>
          <w:bCs/>
        </w:rPr>
        <w:t xml:space="preserve">On the gap:</w:t>
      </w:r>
      <w:r>
        <w:t xml:space="preserve"> “How do you supplement an existing AI consultant with something like what you offer, which is more of the getting that AI consultant the information that they need? Because they ain’t doing it right.”</w:t>
      </w:r>
    </w:p>
    <w:p>
      <w:pPr>
        <w:spacing w:after="160" w:line="276"/>
      </w:pPr>
      <w:r>
        <w:rPr>
          <w:b/>
          <w:bCs/>
        </w:rPr>
        <w:t xml:space="preserve">On gut decisions:</w:t>
      </w:r>
      <w:r>
        <w:t xml:space="preserve"> He independently described the same insight as Katie’s Gut—a broker call triggered by a chain of subconscious observations (LinkedIn, golf tournament, client coverage) that the employee couldn’t consciously explain.</w:t>
      </w:r>
    </w:p>
    <w:p>
      <w:pPr>
        <w:pStyle w:val="Heading2"/>
      </w:pPr>
      <w:r>
        <w:t xml:space="preserve">5.3 Banned Words &amp; Patterns</w:t>
      </w:r>
    </w:p>
    <w:p>
      <w:pPr>
        <w:pStyle w:val="ListParagraph"/>
        <w:numPr>
          <w:ilvl w:val="0"/>
          <w:numId w:val="2"/>
        </w:numPr>
        <w:spacing w:after="80"/>
      </w:pPr>
      <w:r>
        <w:t xml:space="preserve">Transformative, game-changing, revolutionary, cutting-edge, robust</w:t>
      </w:r>
    </w:p>
    <w:p>
      <w:pPr>
        <w:pStyle w:val="ListParagraph"/>
        <w:numPr>
          <w:ilvl w:val="0"/>
          <w:numId w:val="2"/>
        </w:numPr>
        <w:spacing w:after="80"/>
      </w:pPr>
      <w:r>
        <w:t xml:space="preserve">Leverage, paradigm, synergy, holistic, delve, landscape</w:t>
      </w:r>
    </w:p>
    <w:p>
      <w:pPr>
        <w:pStyle w:val="ListParagraph"/>
        <w:numPr>
          <w:ilvl w:val="0"/>
          <w:numId w:val="2"/>
        </w:numPr>
        <w:spacing w:after="80"/>
      </w:pPr>
      <w:r>
        <w:t xml:space="preserve">Moreover, Furthermore, Additionally, It’s worth noting</w:t>
      </w:r>
    </w:p>
    <w:p>
      <w:pPr>
        <w:pStyle w:val="ListParagraph"/>
        <w:numPr>
          <w:ilvl w:val="0"/>
          <w:numId w:val="2"/>
        </w:numPr>
        <w:spacing w:after="80"/>
      </w:pPr>
      <w:r>
        <w:t xml:space="preserve">This highlights… / This underscores… / This demonstrates…</w:t>
      </w:r>
    </w:p>
    <w:p>
      <w:pPr>
        <w:pStyle w:val="ListParagraph"/>
        <w:numPr>
          <w:ilvl w:val="0"/>
          <w:numId w:val="2"/>
        </w:numPr>
        <w:spacing w:after="80"/>
      </w:pPr>
      <w:r>
        <w:t xml:space="preserve">“It’s not X, it’s Y” sentence constructions</w:t>
      </w:r>
    </w:p>
    <w:p>
      <w:pPr>
        <w:pStyle w:val="ListParagraph"/>
        <w:numPr>
          <w:ilvl w:val="0"/>
          <w:numId w:val="2"/>
        </w:numPr>
        <w:spacing w:after="80"/>
      </w:pPr>
      <w:r>
        <w:t xml:space="preserve">Rule-of-three lists embedded in sentences</w:t>
      </w:r>
    </w:p>
    <w:p>
      <w:pPr>
        <w:pStyle w:val="ListParagraph"/>
        <w:numPr>
          <w:ilvl w:val="0"/>
          <w:numId w:val="2"/>
        </w:numPr>
        <w:spacing w:after="80"/>
      </w:pPr>
      <w:r>
        <w:t xml:space="preserve">Em-dash overuse (one per page maximum)</w:t>
      </w:r>
    </w:p>
    <w:p>
      <w:pPr>
        <w:pStyle w:val="ListParagraph"/>
        <w:numPr>
          <w:ilvl w:val="0"/>
          <w:numId w:val="2"/>
        </w:numPr>
        <w:spacing w:after="80"/>
      </w:pPr>
      <w:r>
        <w:t xml:space="preserve">Any sentence that could appear on any other AI consulting website</w:t>
      </w:r>
    </w:p>
    <w:p>
      <w:pPr>
        <w:pStyle w:val="Heading2"/>
      </w:pPr>
      <w:r>
        <w:t xml:space="preserve">5.4 Voice Calibration</w:t>
      </w:r>
    </w:p>
    <w:p>
      <w:pPr>
        <w:spacing w:after="160" w:line="276"/>
      </w:pPr>
      <w:r>
        <w:t xml:space="preserve">A smart 26-year-old who’s been doing this for two and a half years talking to someone’s dad who runs a $50M company. Respectful but not deferential. Technical enough to build it, business-savvy enough to explain why it matters. Occasionally blunt. Never promotional.</w:t>
      </w:r>
    </w:p>
    <w:p>
      <w:pPr>
        <w:spacing w:after="160" w:line="276"/>
      </w:pPr>
      <w:r>
        <w:t xml:space="preserve">Sentence length should vary significantly—some short and punchy, some longer and explanatory. Use contractions naturally. Start sentences with “And” or “But” when it feels right. Let some insights be incomplete or raise questions.</w:t>
      </w:r>
    </w:p>
    <w:p>
      <w:r>
        <w:br w:type="page"/>
      </w:r>
    </w:p>
    <w:p>
      <w:pPr>
        <w:pStyle w:val="Heading1"/>
      </w:pPr>
      <w:r>
        <w:t xml:space="preserve">6. Implementation Notes for Coding Agent</w:t>
      </w:r>
    </w:p>
    <w:p>
      <w:pPr>
        <w:pStyle w:val="Heading2"/>
      </w:pPr>
      <w:r>
        <w:t xml:space="preserve">6.1 Repo &amp; Starting Points</w:t>
      </w:r>
    </w:p>
    <w:p>
      <w:pPr>
        <w:pStyle w:val="ListParagraph"/>
        <w:numPr>
          <w:ilvl w:val="0"/>
          <w:numId w:val="2"/>
        </w:numPr>
        <w:spacing w:after="80"/>
      </w:pPr>
      <w:r>
        <w:t xml:space="preserve">Arman’s PrismTech.ai repo is available and can serve as a structural starting point—take the component architecture and performance patterns, replace the dark theme and content.</w:t>
      </w:r>
    </w:p>
    <w:p>
      <w:pPr>
        <w:pStyle w:val="ListParagraph"/>
        <w:numPr>
          <w:ilvl w:val="0"/>
          <w:numId w:val="2"/>
        </w:numPr>
        <w:spacing w:after="80"/>
      </w:pPr>
      <w:r>
        <w:t xml:space="preserve">Spencer’s Svelte animation repo has Framer Motion-style scroll animations already built—import those directly.</w:t>
      </w:r>
    </w:p>
    <w:p>
      <w:pPr>
        <w:pStyle w:val="ListParagraph"/>
        <w:numPr>
          <w:ilvl w:val="0"/>
          <w:numId w:val="2"/>
        </w:numPr>
        <w:spacing w:after="80"/>
      </w:pPr>
      <w:r>
        <w:t xml:space="preserve">Connor’s Paper Design iteration has useful font choices—evaluate those for the serif headline direction.</w:t>
      </w:r>
    </w:p>
    <w:p>
      <w:pPr>
        <w:pStyle w:val="Heading2"/>
      </w:pPr>
      <w:r>
        <w:t xml:space="preserve">6.2 Performance Targets</w:t>
      </w:r>
    </w:p>
    <w:p>
      <w:pPr>
        <w:pStyle w:val="ListParagraph"/>
        <w:numPr>
          <w:ilvl w:val="0"/>
          <w:numId w:val="2"/>
        </w:numPr>
        <w:spacing w:after="80"/>
      </w:pPr>
      <w:r>
        <w:t xml:space="preserve">Lighthouse performance score: 95+</w:t>
      </w:r>
    </w:p>
    <w:p>
      <w:pPr>
        <w:pStyle w:val="ListParagraph"/>
        <w:numPr>
          <w:ilvl w:val="0"/>
          <w:numId w:val="2"/>
        </w:numPr>
        <w:spacing w:after="80"/>
      </w:pPr>
      <w:r>
        <w:t xml:space="preserve">First Contentful Paint: &lt;1.0s</w:t>
      </w:r>
    </w:p>
    <w:p>
      <w:pPr>
        <w:pStyle w:val="ListParagraph"/>
        <w:numPr>
          <w:ilvl w:val="0"/>
          <w:numId w:val="2"/>
        </w:numPr>
        <w:spacing w:after="80"/>
      </w:pPr>
      <w:r>
        <w:t xml:space="preserve">Largest Contentful Paint: &lt;1.5s</w:t>
      </w:r>
    </w:p>
    <w:p>
      <w:pPr>
        <w:pStyle w:val="ListParagraph"/>
        <w:numPr>
          <w:ilvl w:val="0"/>
          <w:numId w:val="2"/>
        </w:numPr>
        <w:spacing w:after="80"/>
      </w:pPr>
      <w:r>
        <w:t xml:space="preserve">Total JS shipped: &lt;50KB gzipped (excluding video player)</w:t>
      </w:r>
    </w:p>
    <w:p>
      <w:pPr>
        <w:pStyle w:val="ListParagraph"/>
        <w:numPr>
          <w:ilvl w:val="0"/>
          <w:numId w:val="2"/>
        </w:numPr>
        <w:spacing w:after="80"/>
      </w:pPr>
      <w:r>
        <w:t xml:space="preserve">Zero layout shift on initial load</w:t>
      </w:r>
    </w:p>
    <w:p>
      <w:pPr>
        <w:pStyle w:val="Heading2"/>
      </w:pPr>
      <w:r>
        <w:t xml:space="preserve">6.3 Animation Guidelines</w:t>
      </w:r>
    </w:p>
    <w:p>
      <w:pPr>
        <w:pStyle w:val="ListParagraph"/>
        <w:numPr>
          <w:ilvl w:val="0"/>
          <w:numId w:val="2"/>
        </w:numPr>
        <w:spacing w:after="80"/>
      </w:pPr>
      <w:r>
        <w:t xml:space="preserve">Scroll-triggered fade-in/slide-up for content sections (Svelte transition directives or Framer Motion equivalent)</w:t>
      </w:r>
    </w:p>
    <w:p>
      <w:pPr>
        <w:pStyle w:val="ListParagraph"/>
        <w:numPr>
          <w:ilvl w:val="0"/>
          <w:numId w:val="2"/>
        </w:numPr>
        <w:spacing w:after="80"/>
      </w:pPr>
      <w:r>
        <w:t xml:space="preserve">Parallax on the case study section background—subtle, 0.3x speed</w:t>
      </w:r>
    </w:p>
    <w:p>
      <w:pPr>
        <w:pStyle w:val="ListParagraph"/>
        <w:numPr>
          <w:ilvl w:val="0"/>
          <w:numId w:val="2"/>
        </w:numPr>
        <w:spacing w:after="80"/>
      </w:pPr>
      <w:r>
        <w:t xml:space="preserve">Smooth page transitions between main page and case study page</w:t>
      </w:r>
    </w:p>
    <w:p>
      <w:pPr>
        <w:pStyle w:val="ListParagraph"/>
        <w:numPr>
          <w:ilvl w:val="0"/>
          <w:numId w:val="2"/>
        </w:numPr>
        <w:spacing w:after="80"/>
      </w:pPr>
      <w:r>
        <w:t xml:space="preserve">No animation on the hero—text should be immediately visible and readable</w:t>
      </w:r>
    </w:p>
    <w:p>
      <w:pPr>
        <w:pStyle w:val="ListParagraph"/>
        <w:numPr>
          <w:ilvl w:val="0"/>
          <w:numId w:val="2"/>
        </w:numPr>
        <w:spacing w:after="80"/>
      </w:pPr>
      <w:r>
        <w:t xml:space="preserve">All animations must respect prefers-reduced-motion</w:t>
      </w:r>
    </w:p>
    <w:p>
      <w:pPr>
        <w:pStyle w:val="Heading2"/>
      </w:pPr>
      <w:r>
        <w:t xml:space="preserve">6.4 Responsive Behavior</w:t>
      </w:r>
    </w:p>
    <w:p>
      <w:pPr>
        <w:pStyle w:val="ListParagraph"/>
        <w:numPr>
          <w:ilvl w:val="0"/>
          <w:numId w:val="2"/>
        </w:numPr>
        <w:spacing w:after="80"/>
      </w:pPr>
      <w:r>
        <w:t xml:space="preserve">Mobile-first. The primary ICP may check the site on an iPhone after getting a referral text.</w:t>
      </w:r>
    </w:p>
    <w:p>
      <w:pPr>
        <w:pStyle w:val="ListParagraph"/>
        <w:numPr>
          <w:ilvl w:val="0"/>
          <w:numId w:val="2"/>
        </w:numPr>
        <w:spacing w:after="80"/>
      </w:pPr>
      <w:r>
        <w:t xml:space="preserve">Video section should maintain aspect ratio and be playable on mobile</w:t>
      </w:r>
    </w:p>
    <w:p>
      <w:pPr>
        <w:pStyle w:val="ListParagraph"/>
        <w:numPr>
          <w:ilvl w:val="0"/>
          <w:numId w:val="2"/>
        </w:numPr>
        <w:spacing w:after="80"/>
      </w:pPr>
      <w:r>
        <w:t xml:space="preserve">Navigation: simple header with logo + “Talk to Us” CTA. No hamburger menu—the site is single-page, so a menu is unnecessary.</w:t>
      </w:r>
    </w:p>
    <w:p>
      <w:pPr>
        <w:pStyle w:val="ListParagraph"/>
        <w:numPr>
          <w:ilvl w:val="0"/>
          <w:numId w:val="2"/>
        </w:numPr>
        <w:spacing w:after="80"/>
      </w:pPr>
      <w:r>
        <w:t xml:space="preserve">Font sizes should scale comfortably—body text no smaller than 16px on mobile.</w:t>
      </w:r>
    </w:p>
    <w:p>
      <w:pPr>
        <w:pStyle w:val="Heading2"/>
      </w:pPr>
      <w:r>
        <w:t xml:space="preserve">6.5 SEO &amp; Meta</w:t>
      </w:r>
    </w:p>
    <w:p>
      <w:pPr>
        <w:pStyle w:val="ListParagraph"/>
        <w:numPr>
          <w:ilvl w:val="0"/>
          <w:numId w:val="2"/>
        </w:numPr>
        <w:spacing w:after="80"/>
      </w:pPr>
      <w:r>
        <w:t xml:space="preserve">Title: “Aiscend Labs — Custom AI Systems for Established Businesses”</w:t>
      </w:r>
    </w:p>
    <w:p>
      <w:pPr>
        <w:pStyle w:val="ListParagraph"/>
        <w:numPr>
          <w:ilvl w:val="0"/>
          <w:numId w:val="2"/>
        </w:numPr>
        <w:spacing w:after="80"/>
      </w:pPr>
      <w:r>
        <w:t xml:space="preserve">Description: “We capture your experts’ institutional knowledge and build AI systems around your real workflows. Discovery, implementation, working software.”</w:t>
      </w:r>
    </w:p>
    <w:p>
      <w:pPr>
        <w:pStyle w:val="ListParagraph"/>
        <w:numPr>
          <w:ilvl w:val="0"/>
          <w:numId w:val="2"/>
        </w:numPr>
        <w:spacing w:after="80"/>
      </w:pPr>
      <w:r>
        <w:t xml:space="preserve">OG image: clean, text-based card with the headline. No stock photography.</w:t>
      </w:r>
    </w:p>
    <w:p>
      <w:pPr>
        <w:pStyle w:val="ListParagraph"/>
        <w:numPr>
          <w:ilvl w:val="0"/>
          <w:numId w:val="2"/>
        </w:numPr>
        <w:spacing w:after="80"/>
      </w:pPr>
      <w:r>
        <w:t xml:space="preserve">Structured data: LocalBusiness schema with service descriptions.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2026-03-04T18:03:42.062Z</dcterms:created>
  <dcterms:modified xsi:type="dcterms:W3CDTF">2026-03-04T18:03:42.063Z</dcterms:modified>
</cp:coreProperties>
</file>

<file path=docProps/custom.xml><?xml version="1.0" encoding="utf-8"?>
<Properties xmlns="http://schemas.openxmlformats.org/officeDocument/2006/custom-properties" xmlns:vt="http://schemas.openxmlformats.org/officeDocument/2006/docPropsVTypes"/>
</file>