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漢漢漢漢漢漢漢漢漢漢漢漢漢漢漢漢漢漢漢漢漢漢漢漢漢漢漢漢漢漢漢漢漢漢漢漢漢漢漢字ー以下続く文章です。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漢漢漢漢漢漢漢漢漢漢漢漢漢漢漢漢漢漢漢漢漢漢漢漢漢漢漢漢漢漢漢漢漢漢漢漢漢漢漢字々以下続く文章です。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漢漢漢漢漢漢漢漢漢漢漢漢漢漢漢漢漢漢漢漢漢漢漢漢漢漢漢漢漢漢漢漢漢漢漢漢漢漢漢字ゝ以下続く文章です。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漢漢漢漢漢漢漢漢漢漢漢漢漢漢漢漢漢漢漢漢漢漢漢漢漢漢漢漢漢漢漢漢漢漢漢漢漢漢漢字っ以下続く文章です。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漢漢漢漢漢漢漢漢漢漢漢漢漢漢漢漢漢漢漢漢漢漢漢漢漢漢漢漢漢漢漢漢漢漢漢漢漢漢漢字ゃ以下続く文章です。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漢漢漢漢漢漢漢漢漢漢漢漢漢漢漢漢漢漢漢漢漢漢漢漢漢漢漢漢漢漢漢漢漢漢漢漢漢漢漢字ッ以下続く文章です。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漢漢漢漢漢漢漢漢漢漢漢漢漢漢漢漢漢漢漢漢漢漢漢漢漢漢漢漢漢漢漢漢漢漢漢漢漢漢漢字ャ以下続く文章です。</w:t>
      </w:r>
    </w:p>
    <w:p>
      <w:pPr>
        <w:spacing w:after="120"/>
      </w:pPr>
      <w:r>
        <w:rPr>
          <w:rFonts w:ascii="IPAexMincho" w:hAnsi="IPAexMincho" w:eastAsia="IPAexMincho"/>
          <w:sz w:val="21"/>
          <w:szCs w:val="21"/>
        </w:rPr>
        <w:t xml:space="preserve">漢漢漢漢漢漢漢漢漢漢漢漢漢漢漢漢漢漢漢漢漢漢漢漢漢漢漢漢漢漢漢漢漢漢漢漢漢漢漢「括弧の中」です。</w:t>
      </w:r>
    </w:p>
    <w:sectPr>
      <w:pgSz w:w="11906" w:h="16838"/>
      <w:pgMar w:top="1440" w:right="1753" w:bottom="1440" w:left="1753" w:header="720" w:footer="720" w:gutter="0"/>
    </w:sectPr>
  </w:body>
</w:document>
</file>