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IPAexMincho" w:hAnsi="IPAexMincho" w:eastAsia="IPAexMincho"/>
          <w:sz w:val="21"/>
          <w:szCs w:val="21"/>
        </w:rPr>
        <w:t xml:space="preserve">縦書きの文章です。数字は２０２６年、英字はＡＢＣとabcです。「括弧」も縦になります。</w:t>
      </w:r>
    </w:p>
    <w:p>
      <w:pPr>
        <w:spacing w:after="120"/>
      </w:pPr>
      <w:r>
        <w:rPr>
          <w:rFonts w:ascii="IPAexMincho" w:hAnsi="IPAexMincho" w:eastAsia="IPAexMincho"/>
          <w:sz w:val="21"/>
          <w:szCs w:val="21"/>
        </w:rPr>
        <w:t xml:space="preserve">二行目の段落です。</w:t>
      </w:r>
    </w:p>
    <w:sectPr>
      <w:pgSz w:w="11906" w:h="16838"/>
      <w:pgMar w:top="1440" w:right="1753" w:bottom="1440" w:left="1753" w:header="720" w:footer="720" w:gutter="0"/>
      <w:textDirection w:val="tbRl"/>
    </w:sectPr>
  </w:body>
</w:document>
</file>