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body>
    <w:p>
      <w:pPr>
        <w:pStyle w:val="Title"/>
        <w:spacing w:line="653" w:lineRule="atLeast"/>
      </w:pPr>
      <w:r>
        <w:rPr/>
        <w:t xml:space="preserve">事業のご報告</w:t>
      </w:r>
    </w:p>
    <w:p>
      <w:pPr>
        <w:spacing w:line="363" w:lineRule="atLeast"/>
      </w:pPr>
      <w:r>
        <w:rPr/>
        <w:t xml:space="preserve">2026 年度 上期(4 月〜9 月)  株式会社みほん商事</w:t>
      </w:r>
    </w:p>
    <w:p>
      <w:pPr>
        <w:spacing w:line="363" w:lineRule="atLeast"/>
      </w:pPr>
      <w:r>
        <w:rPr/>
        <w:t xml:space="preserve">上期の売上は計画を上回り、6 か月のうち 5 か月で計画を超えました。関東の伸びが全体を引き上げ、中部は新しい取引先が 3 社増えました。</w:t>
      </w:r>
    </w:p>
    <w:p>
      <w:pPr>
        <w:pStyle w:val="Heading1"/>
        <w:spacing w:line="544" w:lineRule="atLeast"/>
        <w:outlineLvl w:val="0"/>
      </w:pPr>
      <w:r>
        <w:rPr/>
        <w:t xml:space="preserve">売上の推移</w:t>
      </w:r>
    </w:p>
    <w:p>
      <w:pPr>
        <w:spacing w:line="363" w:lineRule="atLeast"/>
      </w:pPr>
      <w:r>
        <w:drawing>
          <wp:inline distT="0" distB="0" distL="0" distR="0">
            <wp:extent cx="5760000" cy="3240000"/>
            <wp:docPr id="1" name="図1"/>
            <a:graphic>
              <a:graphicData uri="http://schemas.openxmlformats.org/drawingml/2006/picture">
                <pic:pic>
                  <pic:nvPicPr>
                    <pic:cNvPr id="1" name="図1"/>
                    <pic:cNvPicPr/>
                  </pic:nvPicPr>
                  <pic:blipFill>
                    <a:blip r:embed="rIdJO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3" w:lineRule="atLeast"/>
      </w:pPr>
      <w:r>
        <w:rPr/>
        <w:t xml:space="preserve">7 月以降、実績(青)が計画(赤)を上回っています。9 月は 68 百万円で、上期で最も高い月になりました。</w:t>
      </w:r>
    </w:p>
    <w:p>
      <w:pPr>
        <w:pStyle w:val="Heading1"/>
        <w:spacing w:line="544" w:lineRule="atLeast"/>
        <w:outlineLvl w:val="0"/>
      </w:pPr>
      <w:r>
        <w:rPr/>
        <w:t xml:space="preserve">地域の内訳</w:t>
      </w:r>
    </w:p>
    <w:p>
      <w:pPr>
        <w:spacing w:line="363" w:lineRule="atLeast"/>
      </w:pPr>
      <w:r>
        <w:drawing>
          <wp:inline distT="0" distB="0" distL="0" distR="0">
            <wp:extent cx="5760000" cy="3240000"/>
            <wp:docPr id="2" name="図2"/>
            <a:graphic>
              <a:graphicData uri="http://schemas.openxmlformats.org/drawingml/2006/picture">
                <pic:pic>
                  <pic:nvPicPr>
                    <pic:cNvPr id="2" name="図2"/>
                    <pic:cNvPicPr/>
                  </pic:nvPicPr>
                  <pic:blipFill>
                    <a:blip r:embed="rIdJO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3" w:lineRule="atLeast"/>
      </w:pPr>
      <w:r>
        <w:rPr/>
        <w:t xml:space="preserve">関東が半分近くを占めます。その他の地域は 10% ですが、前年の 6% から伸びています。</w:t>
      </w:r>
    </w:p>
    <w:p>
      <w:pPr>
        <w:pStyle w:val="Heading1"/>
        <w:spacing w:line="544" w:lineRule="atLeast"/>
        <w:outlineLvl w:val="0"/>
      </w:pPr>
      <w:r>
        <w:rPr/>
        <w:t xml:space="preserve">主な取引先</w:t>
      </w:r>
    </w:p>
    <w:tbl>
      <w:tblPr>
        <w:tblStyle w:val="Table Gri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/>
        <w:gridCol/>
        <w:gridCol/>
        <w:gridCol/>
      </w:tblGrid>
      <w:tr>
        <w:tc>
          <w:p>
            <w:pPr>
              <w:spacing w:line="363" w:lineRule="atLeast"/>
            </w:pPr>
            <w:r>
              <w:rPr/>
              <w:t xml:space="preserve">取引先</w:t>
            </w:r>
          </w:p>
        </w:tc>
        <w:tc>
          <w:p>
            <w:pPr>
              <w:spacing w:line="363" w:lineRule="atLeast"/>
            </w:pPr>
            <w:r>
              <w:rPr/>
              <w:t xml:space="preserve">地域</w:t>
            </w:r>
          </w:p>
        </w:tc>
        <w:tc>
          <w:p>
            <w:pPr>
              <w:spacing w:line="363" w:lineRule="atLeast"/>
            </w:pPr>
            <w:r>
              <w:rPr/>
              <w:t xml:space="preserve">上期の売上(百万円)</w:t>
            </w:r>
          </w:p>
        </w:tc>
        <w:tc>
          <w:p>
            <w:pPr>
              <w:spacing w:line="363" w:lineRule="atLeast"/>
            </w:pPr>
            <w:r>
              <w:rPr/>
              <w:t xml:space="preserve">前年比</w:t>
            </w:r>
          </w:p>
        </w:tc>
      </w:tr>
      <w:tr>
        <w:tc>
          <w:p>
            <w:pPr>
              <w:spacing w:line="363" w:lineRule="atLeast"/>
            </w:pPr>
            <w:r>
              <w:rPr/>
              <w:t xml:space="preserve">例示工務店</w:t>
            </w:r>
          </w:p>
        </w:tc>
        <w:tc>
          <w:p>
            <w:pPr>
              <w:spacing w:line="363" w:lineRule="atLeast"/>
            </w:pPr>
            <w:r>
              <w:rPr/>
              <w:t xml:space="preserve">関東</w:t>
            </w:r>
          </w:p>
        </w:tc>
        <w:tc>
          <w:p>
            <w:pPr>
              <w:spacing w:line="363" w:lineRule="atLeast"/>
            </w:pPr>
            <w:r>
              <w:rPr/>
              <w:t xml:space="preserve">82</w:t>
            </w:r>
          </w:p>
        </w:tc>
        <w:tc>
          <w:p>
            <w:pPr>
              <w:spacing w:line="363" w:lineRule="atLeast"/>
            </w:pPr>
            <w:r>
              <w:rPr/>
              <w:t xml:space="preserve">+12%</w:t>
            </w:r>
          </w:p>
        </w:tc>
      </w:tr>
      <w:tr>
        <w:tc>
          <w:p>
            <w:pPr>
              <w:spacing w:line="363" w:lineRule="atLeast"/>
            </w:pPr>
            <w:r>
              <w:rPr/>
              <w:t xml:space="preserve">みほん建設</w:t>
            </w:r>
          </w:p>
        </w:tc>
        <w:tc>
          <w:p>
            <w:pPr>
              <w:spacing w:line="363" w:lineRule="atLeast"/>
            </w:pPr>
            <w:r>
              <w:rPr/>
              <w:t xml:space="preserve">関西</w:t>
            </w:r>
          </w:p>
        </w:tc>
        <w:tc>
          <w:p>
            <w:pPr>
              <w:spacing w:line="363" w:lineRule="atLeast"/>
            </w:pPr>
            <w:r>
              <w:rPr/>
              <w:t xml:space="preserve">64</w:t>
            </w:r>
          </w:p>
        </w:tc>
        <w:tc>
          <w:p>
            <w:pPr>
              <w:spacing w:line="363" w:lineRule="atLeast"/>
            </w:pPr>
            <w:r>
              <w:rPr/>
              <w:t xml:space="preserve">+8%</w:t>
            </w:r>
          </w:p>
        </w:tc>
      </w:tr>
      <w:tr>
        <w:tc>
          <w:p>
            <w:pPr>
              <w:spacing w:line="363" w:lineRule="atLeast"/>
            </w:pPr>
            <w:r>
              <w:rPr/>
              <w:t xml:space="preserve">架空設備</w:t>
            </w:r>
          </w:p>
        </w:tc>
        <w:tc>
          <w:p>
            <w:pPr>
              <w:spacing w:line="363" w:lineRule="atLeast"/>
            </w:pPr>
            <w:r>
              <w:rPr/>
              <w:t xml:space="preserve">中部</w:t>
            </w:r>
          </w:p>
        </w:tc>
        <w:tc>
          <w:p>
            <w:pPr>
              <w:spacing w:line="363" w:lineRule="atLeast"/>
            </w:pPr>
            <w:r>
              <w:rPr/>
              <w:t xml:space="preserve">41</w:t>
            </w:r>
          </w:p>
        </w:tc>
        <w:tc>
          <w:p>
            <w:pPr>
              <w:spacing w:line="363" w:lineRule="atLeast"/>
            </w:pPr>
            <w:r>
              <w:rPr/>
              <w:t xml:space="preserve">+21%</w:t>
            </w:r>
          </w:p>
        </w:tc>
      </w:tr>
      <w:tr>
        <w:tc>
          <w:p>
            <w:pPr>
              <w:spacing w:line="363" w:lineRule="atLeast"/>
            </w:pPr>
            <w:r>
              <w:rPr/>
              <w:t xml:space="preserve">仮名商会</w:t>
            </w:r>
          </w:p>
        </w:tc>
        <w:tc>
          <w:p>
            <w:pPr>
              <w:spacing w:line="363" w:lineRule="atLeast"/>
            </w:pPr>
            <w:r>
              <w:rPr/>
              <w:t xml:space="preserve">関東</w:t>
            </w:r>
          </w:p>
        </w:tc>
        <w:tc>
          <w:p>
            <w:pPr>
              <w:spacing w:line="363" w:lineRule="atLeast"/>
            </w:pPr>
            <w:r>
              <w:rPr/>
              <w:t xml:space="preserve">35</w:t>
            </w:r>
          </w:p>
        </w:tc>
        <w:tc>
          <w:p>
            <w:pPr>
              <w:spacing w:line="363" w:lineRule="atLeast"/>
            </w:pPr>
            <w:r>
              <w:rPr/>
              <w:t xml:space="preserve">-3%</w:t>
            </w:r>
          </w:p>
        </w:tc>
      </w:tr>
    </w:tbl>
    <w:p>
      <w:pPr>
        <w:pStyle w:val="Heading1"/>
        <w:spacing w:line="544" w:lineRule="atLeast"/>
        <w:outlineLvl w:val="0"/>
      </w:pPr>
      <w:r>
        <w:rPr/>
        <w:t xml:space="preserve">下期に向けて</w:t>
      </w:r>
    </w:p>
    <w:p>
      <w:pPr>
        <w:spacing w:line="363" w:lineRule="atLeast"/>
      </w:pPr>
      <w:r>
        <w:rPr/>
        <w:t xml:space="preserve">中部の新しい取引先への納品を 10 月から始めます。関西は担当を 1 人増やします。</w:t>
      </w:r>
    </w:p>
    <w:sectPr>
      <w:pgSz w:w="12240" w:h="15840"/>
      <w:pgMar w:top="1134" w:right="1134" w:bottom="1134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kern w:val="2"/>
        <w:lang w:val="en-US" w:eastAsia="en-US" w:bidi="ar-SA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0"/>
    </w:pPr>
    <w:rPr>
      <w:rFonts w:asciiTheme="majorHAnsi" w:hAnsiTheme="majorHAnsi" w:eastAsiaTheme="majorEastAsia" w:cstheme="majorBidi"/>
      <w:b/>
      <w:sz w:val="40"/>
      <w:szCs w:val="40"/>
    </w:rPr>
  </w:style>
  <w:style w:type="paragraph" w:styleId="Heading1">
    <w:name w:val="heading 1"/>
    <w:basedOn w:val="Normal"/>
    <w:pPr>
      <w:spacing w:before="198" w:after="55"/>
      <w:outlineLvl w:val="0"/>
    </w:pPr>
    <w:rPr>
      <w:rFonts w:asciiTheme="majorHAnsi" w:hAnsiTheme="majorHAnsi" w:eastAsiaTheme="majorEastAsia" w:cstheme="majorBidi"/>
      <w:b/>
      <w:sz w:val="32"/>
      <w:szCs w:val="32"/>
    </w:rPr>
  </w:style>
  <w:style w:type="paragraph" w:styleId="Heading2">
    <w:name w:val="heading 2"/>
    <w:basedOn w:val="Normal"/>
    <w:pPr>
      <w:spacing w:before="154" w:after="55"/>
      <w:outlineLvl w:val="1"/>
    </w:pPr>
    <w:rPr>
      <w:rFonts w:asciiTheme="majorHAnsi" w:hAnsiTheme="majorHAnsi" w:eastAsiaTheme="majorEastAsia" w:cstheme="majorBidi"/>
      <w:b/>
      <w:sz w:val="26"/>
      <w:szCs w:val="26"/>
    </w:rPr>
  </w:style>
  <w:style w:type="paragraph" w:styleId="Heading3">
    <w:name w:val="heading 3"/>
    <w:basedOn w:val="Normal"/>
    <w:pPr>
      <w:spacing w:before="154" w:after="55"/>
      <w:outlineLvl w:val="2"/>
    </w:pPr>
    <w:rPr>
      <w:rFonts w:asciiTheme="majorHAnsi" w:hAnsiTheme="majorHAnsi" w:eastAsiaTheme="majorEastAsia" w:cstheme="majorBidi"/>
      <w:b/>
      <w:sz w:val="23"/>
      <w:szCs w:val="23"/>
    </w:rPr>
  </w:style>
  <w:style w:type="paragraph" w:styleId="Quote">
    <w:name w:val="Quote"/>
    <w:basedOn w:val="Normal"/>
    <w:rPr>
      <w:i/>
      <w:color w:val="444444"/>
    </w:rPr>
  </w:style>
  <w:style w:type="paragraph" w:styleId="註記">
    <w:name w:val="註記"/>
    <w:basedOn w:val="Normal"/>
    <w:pPr>
      <w:shd w:val="clear" w:color="auto" w:fill="FFF6E0"/>
    </w:pPr>
    <w:rPr>
      <w:b/>
    </w:rPr>
  </w:style>
  <w:style w:type="paragraph" w:styleId="ヒント">
    <w:name w:val="ヒント"/>
    <w:basedOn w:val="Normal"/>
    <w:pPr>
      <w:shd w:val="clear" w:color="auto" w:fill="E8F6EC"/>
    </w:pPr>
    <w:rPr>
      <w:b/>
    </w:rPr>
  </w:style>
  <w:style w:type="paragraph" w:styleId="重要">
    <w:name w:val="重要"/>
    <w:basedOn w:val="Normal"/>
    <w:pPr>
      <w:shd w:val="clear" w:color="auto" w:fill="FFF0F0"/>
    </w:pPr>
    <w:rPr>
      <w:b/>
    </w:rPr>
  </w:style>
  <w:style w:type="paragraph" w:styleId="警告">
    <w:name w:val="警告"/>
    <w:basedOn w:val="Normal"/>
    <w:pPr>
      <w:shd w:val="clear" w:color="auto" w:fill="FFF0F0"/>
    </w:pPr>
    <w:rPr>
      <w:b/>
      <w:color w:val="9C2B2B"/>
    </w:rPr>
  </w:style>
  <w:style w:type="paragraph" w:styleId="注意">
    <w:name w:val="注意"/>
    <w:basedOn w:val="Normal"/>
    <w:pPr>
      <w:shd w:val="clear" w:color="auto" w:fill="FFF6E0"/>
    </w:pPr>
    <w:rPr>
      <w:b/>
    </w:rPr>
  </w:style>
  <w:style w:type="paragraph" w:styleId="塊の区切り">
    <w:name w:val="塊の区切り"/>
    <w:basedOn w:val="Normal"/>
    <w:rPr>
      <w:color w:val="8A8A8A"/>
    </w:rPr>
  </w:style>
  <w:style w:type="paragraph" w:styleId="塊の中">
    <w:name w:val="塊の中"/>
    <w:basedOn w:val="Normal"/>
    <w:rPr>
      <w:rFonts w:ascii="Noto Sans Mono CJK JP" w:hAnsi="Noto Sans Mono CJK JP" w:eastAsia="Noto Sans Mono CJK JP" w:cs="Noto Sans Mono CJK JP"/>
    </w:rPr>
  </w:style>
  <w:style w:type="paragraph" w:styleId="コードの塊">
    <w:name w:val="コードの塊"/>
    <w:basedOn w:val="Normal"/>
    <w:pPr>
      <w:shd w:val="clear" w:color="auto" w:fill="F4F6F8"/>
    </w:pPr>
    <w:rPr>
      <w:rFonts w:ascii="Noto Sans Mono CJK JP" w:hAnsi="Noto Sans Mono CJK JP" w:eastAsia="Noto Sans Mono CJK JP" w:cs="Noto Sans Mono CJK JP"/>
    </w:rPr>
  </w:style>
  <w:style w:type="paragraph" w:styleId="字のまま出す塊">
    <w:name w:val="字のまま出す塊"/>
    <w:basedOn w:val="Normal"/>
    <w:rPr>
      <w:rFonts w:ascii="Noto Sans Mono CJK JP" w:hAnsi="Noto Sans Mono CJK JP" w:eastAsia="Noto Sans Mono CJK JP" w:cs="Noto Sans Mono CJK JP"/>
    </w:rPr>
  </w:style>
  <w:style w:type="paragraph" w:styleId="字下げ">
    <w:name w:val="字下げ"/>
    <w:basedOn w:val="Normal"/>
    <w:rPr>
      <w:rFonts w:ascii="Noto Sans Mono CJK JP" w:hAnsi="Noto Sans Mono CJK JP" w:eastAsia="Noto Sans Mono CJK JP" w:cs="Noto Sans Mono CJK JP"/>
    </w:rPr>
  </w:style>
  <w:style w:type="paragraph" w:styleId="そのまま通す塊">
    <w:name w:val="そのまま通す塊"/>
    <w:basedOn w:val="Normal"/>
    <w:rPr>
      <w:rFonts w:ascii="Noto Sans Mono CJK JP" w:hAnsi="Noto Sans Mono CJK JP" w:eastAsia="Noto Sans Mono CJK JP" w:cs="Noto Sans Mono CJK JP"/>
      <w:color w:val="8A8A8A"/>
    </w:rPr>
  </w:style>
  <w:style w:type="paragraph" w:styleId="例の塊">
    <w:name w:val="例の塊"/>
    <w:basedOn w:val="Normal"/>
    <w:pPr>
      <w:shd w:val="clear" w:color="auto" w:fill="FBFBF3"/>
    </w:pPr>
  </w:style>
  <w:style w:type="paragraph" w:styleId="傍注の塊">
    <w:name w:val="傍注の塊"/>
    <w:basedOn w:val="Normal"/>
    <w:pPr>
      <w:shd w:val="clear" w:color="auto" w:fill="EEF3F6"/>
    </w:pPr>
  </w:style>
  <w:style w:type="paragraph" w:styleId="詩の塊">
    <w:name w:val="詩の塊"/>
    <w:basedOn w:val="Normal"/>
    <w:rPr>
      <w:i/>
    </w:rPr>
  </w:style>
  <w:style w:type="paragraph" w:styleId="註記の塊">
    <w:name w:val="註記の塊"/>
    <w:basedOn w:val="Normal"/>
    <w:pPr>
      <w:shd w:val="clear" w:color="auto" w:fill="FFF6E0"/>
    </w:pPr>
  </w:style>
  <w:style w:type="paragraph" w:styleId="ヒントの塊">
    <w:name w:val="ヒントの塊"/>
    <w:basedOn w:val="Normal"/>
    <w:pPr>
      <w:shd w:val="clear" w:color="auto" w:fill="E8F6EC"/>
    </w:pPr>
  </w:style>
  <w:style w:type="paragraph" w:styleId="重要の塊">
    <w:name w:val="重要の塊"/>
    <w:basedOn w:val="Normal"/>
    <w:pPr>
      <w:shd w:val="clear" w:color="auto" w:fill="FFF0F0"/>
    </w:pPr>
  </w:style>
  <w:style w:type="paragraph" w:styleId="警告の塊">
    <w:name w:val="警告の塊"/>
    <w:basedOn w:val="Normal"/>
    <w:pPr>
      <w:shd w:val="clear" w:color="auto" w:fill="FFF0F0"/>
    </w:pPr>
    <w:rPr>
      <w:color w:val="9C2B2B"/>
    </w:rPr>
  </w:style>
  <w:style w:type="paragraph" w:styleId="注意の塊">
    <w:name w:val="注意の塊"/>
    <w:basedOn w:val="Normal"/>
    <w:pPr>
      <w:shd w:val="clear" w:color="auto" w:fill="FFF6E0"/>
    </w:pPr>
  </w:style>
  <w:style w:type="paragraph" w:styleId="等幅">
    <w:name w:val="等幅"/>
    <w:basedOn w:val="Normal"/>
    <w:rPr>
      <w:rFonts w:ascii="Noto Sans Mono CJK JP" w:hAnsi="Noto Sans Mono CJK JP" w:eastAsia="Noto Sans Mono CJK JP" w:cs="Noto Sans Mono CJK JP"/>
    </w:rPr>
  </w:style>
  <w:style w:type="paragraph" w:styleId="塊の題">
    <w:name w:val="塊の題"/>
    <w:basedOn w:val="Normal"/>
    <w:rPr>
      <w:b/>
      <w:color w:val="444444"/>
    </w:rPr>
  </w:style>
  <w:style w:type="paragraph" w:styleId="説明のリスト">
    <w:name w:val="説明のリスト"/>
    <w:basedOn w:val="Normal"/>
    <w:rPr>
      <w:b/>
    </w:rPr>
  </w:style>
  <w:style w:type="paragraph" w:styleId="取り込み">
    <w:name w:val="取り込み"/>
    <w:basedOn w:val="Normal"/>
    <w:rPr>
      <w:i/>
      <w:color w:val="8A8A8A"/>
    </w:rPr>
  </w:style>
  <w:style w:type="paragraph" w:styleId="チェック">
    <w:name w:val="チェック"/>
    <w:basedOn w:val="Normal"/>
    <w:rPr>
      <w:color w:val="1B6E3C"/>
    </w:rPr>
  </w:style>
  <w:style w:type="paragraph" w:styleId="Heading4">
    <w:name w:val="heading 4"/>
    <w:basedOn w:val="Normal"/>
    <w:pPr>
      <w:spacing w:before="154" w:after="55"/>
      <w:outlineLvl w:val="3"/>
    </w:pPr>
    <w:rPr>
      <w:rFonts w:asciiTheme="majorHAnsi" w:hAnsiTheme="majorHAnsi" w:eastAsiaTheme="majorEastAsia" w:cstheme="majorBidi"/>
      <w:b/>
      <w:sz w:val="22"/>
      <w:szCs w:val="22"/>
    </w:rPr>
  </w:style>
  <w:style w:type="paragraph" w:styleId="Heading5">
    <w:name w:val="heading 5"/>
    <w:basedOn w:val="Normal"/>
    <w:pPr>
      <w:spacing w:before="154" w:after="55"/>
      <w:outlineLvl w:val="4"/>
    </w:pPr>
    <w:rPr>
      <w:rFonts w:asciiTheme="majorHAnsi" w:hAnsiTheme="majorHAnsi" w:eastAsiaTheme="majorEastAsia" w:cstheme="majorBidi"/>
      <w:b/>
      <w:sz w:val="21"/>
      <w:szCs w:val="21"/>
    </w:rPr>
  </w:style>
  <w:style w:type="paragraph" w:styleId="指定の行">
    <w:name w:val="指定の行"/>
    <w:basedOn w:val="Normal"/>
    <w:rPr>
      <w:color w:val="8A8A8A"/>
    </w:rPr>
  </w:style>
  <w:style w:type="paragraph" w:styleId="横の区切り線">
    <w:name w:val="横の区切り線"/>
    <w:basedOn w:val="Normal"/>
    <w:rPr>
      <w:color w:val="8A8A8A"/>
    </w:rPr>
  </w:style>
  <w:style w:type="paragraph" w:styleId="覚え書き">
    <w:name w:val="覚え書き"/>
    <w:basedOn w:val="Normal"/>
    <w:rPr>
      <w:i/>
      <w:color w:val="9AA0A6"/>
    </w:rPr>
  </w:style>
</w:styles>
</file>

<file path=word/_rels/document.xml.rels><?xml version="1.0" encoding="UTF-8" standalone="yes"?>
<Relationships xmlns="http://schemas.openxmlformats.org/package/2006/relationships"><Relationship Id="rIdJO1" Type="http://schemas.openxmlformats.org/officeDocument/2006/relationships/image" Target="media/joimg1.png"/><Relationship Id="rIdJO2" Type="http://schemas.openxmlformats.org/officeDocument/2006/relationships/image" Target="media/joimg2.png"/><Relationship Id="rIdJOsty" Type="http://schemas.openxmlformats.org/officeDocument/2006/relationships/styles" Target="styles.xml"/><Relationship Id="rIdJOthm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work">
  <a:themeElements>
    <a:clrScheme name="officework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work">
      <a:majorFont>
        <a:latin typeface="Helvetica Neue"/>
        <a:ea typeface="Helvetica Neue"/>
        <a:cs typeface=""/>
        <a:font script="Jpan" typeface="Helvetica Neue"/>
        <a:font script="Hang" typeface="Helvetica Neue"/>
        <a:font script="Hans" typeface="Helvetica Neue"/>
        <a:font script="Hant" typeface="Helvetica Neue"/>
      </a:majorFont>
      <a:minorFont>
        <a:latin typeface="Times New Roman"/>
        <a:ea typeface="Times New Roman"/>
        <a:cs typeface=""/>
        <a:font script="Jpan" typeface="Times New Roman"/>
        <a:font script="Hang" typeface="Times New Roman"/>
        <a:font script="Hans" typeface="Times New Roman"/>
        <a:font script="Hant" typeface="Times New Roman"/>
      </a:minorFont>
    </a:fontScheme>
    <a:fmtScheme name="officework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