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Custom1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видео</w:t>
      </w:r>
    </w:p>
    <w:p>
      <w:pPr>
        <w:spacing w:after="80"/>
      </w:pPr>
      <w:r>
        <w:rPr>
          <w:b/>
          <w:sz w:val="26"/>
        </w:rPr>
        <w:t>Synthetic cinematic passage</w:t>
      </w:r>
    </w:p>
    <w:p>
      <w:pPr>
        <w:spacing w:after="240"/>
      </w:pPr>
      <w:r>
        <w:rPr>
          <w:color w:val="475569"/>
        </w:rPr>
        <w:t>8,375 секунды  ·  Горизонтальное видео · 16:9  ·  ru-RU</w:t>
      </w:r>
    </w:p>
    <w:p>
      <w:pPr>
        <w:pStyle w:val="Heading1"/>
      </w:pPr>
      <w:r>
        <w:t>Саммари</w:t>
      </w:r>
    </w:p>
    <w:p>
      <w:r>
        <w:t>Синтетическая последовательность из шести кадров проходит от тёплого субъективного крупного плана к общему дневному кадру, контровой макродетали, многоплановой композиции, неуверенному субъективному ракурсу и намеренно недосказанному финалу.</w:t>
      </w:r>
    </w:p>
    <w:p>
      <w:r>
        <w:t>Зритель начинает с компаса в руке, переходит в широкое внешнее пространство, возвращается к точной механической детали, считывает многоплановую сцену с картой, попадает в неуверенный отражённый ракурс и завершает просмотр на неясной фигуре у дверного проёма.</w:t>
      </w:r>
    </w:p>
    <w:p>
      <w:pPr>
        <w:pStyle w:val="Heading1"/>
      </w:pPr>
      <w:r>
        <w:t>Сценарий по времени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424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Что видно</w:t>
            </w:r>
          </w:p>
        </w:tc>
      </w:tr>
      <w:tr>
        <w:tc>
          <w:tcPr>
            <w:tcW w:type="dxa" w:w="1613"/>
          </w:tcPr>
          <w:p>
            <w:r>
              <w:t>00:00.000–00:01.250</w:t>
            </w:r>
          </w:p>
        </w:tc>
        <w:tc>
          <w:tcPr>
            <w:tcW w:type="dxa" w:w="8424"/>
          </w:tcPr>
          <w:p>
            <w:r>
              <w:t>Рука в перчатке и компас заполняют крупный план с уровня глаз. Рука удерживает компас у дверного проёма. Начало создаёт камерный субъективный кадр.</w:t>
            </w:r>
            <w:r>
              <w:rPr>
                <w:color w:val="475569"/>
              </w:rPr>
              <w:br/>
              <w:t>Зачем этот момент: Кадр 1 продолжает подтверждённую синтетическую визуальную последовательность.</w:t>
            </w:r>
          </w:p>
        </w:tc>
      </w:tr>
      <w:tr>
        <w:tc>
          <w:tcPr>
            <w:tcW w:type="dxa" w:w="1613"/>
          </w:tcPr>
          <w:p>
            <w:r>
              <w:t>00:01.250–00:02.500</w:t>
            </w:r>
          </w:p>
        </w:tc>
        <w:tc>
          <w:tcPr>
            <w:tcW w:type="dxa" w:w="8424"/>
          </w:tcPr>
          <w:p>
            <w:r>
              <w:t>Широкий дневной двор показан сверху; небольшая фигура находится ближе к центру. Фигура пересекает открытое пространство. Камерная деталь интерьера сменяется масштабом внешнего пространства.</w:t>
            </w:r>
            <w:r>
              <w:rPr>
                <w:color w:val="475569"/>
              </w:rPr>
              <w:br/>
              <w:t>Зачем этот момент: Кадр 2 продолжает подтверждённую синтетическую визуальную последовательность.</w:t>
            </w:r>
          </w:p>
        </w:tc>
      </w:tr>
      <w:tr>
        <w:tc>
          <w:tcPr>
            <w:tcW w:type="dxa" w:w="1613"/>
          </w:tcPr>
          <w:p>
            <w:r>
              <w:t>00:02.500–00:03.750</w:t>
            </w:r>
          </w:p>
        </w:tc>
        <w:tc>
          <w:tcPr>
            <w:tcW w:type="dxa" w:w="8424"/>
          </w:tcPr>
          <w:p>
            <w:r>
              <w:t>Макродеталь выделяет стрелку компаса, а яркий контровой свет очерчивает её силуэт. Стрелка останавливается у одной выгравированной отметки. Масштаб резко сужается от двора к одной механической детали.</w:t>
            </w:r>
            <w:r>
              <w:rPr>
                <w:i/>
              </w:rPr>
              <w:br/>
              <w:t>Текст в кадре: 37</w:t>
            </w:r>
            <w:r>
              <w:rPr>
                <w:color w:val="475569"/>
              </w:rPr>
              <w:br/>
              <w:t>Зачем этот момент: Кадр 3 продолжает подтверждённую синтетическую визуальную последовательность.</w:t>
            </w:r>
          </w:p>
        </w:tc>
      </w:tr>
      <w:tr>
        <w:tc>
          <w:tcPr>
            <w:tcW w:type="dxa" w:w="1613"/>
          </w:tcPr>
          <w:p>
            <w:r>
              <w:t>00:03.750–00:05.000</w:t>
            </w:r>
          </w:p>
        </w:tc>
        <w:tc>
          <w:tcPr>
            <w:tcW w:type="dxa" w:w="8424"/>
          </w:tcPr>
          <w:p>
            <w:r>
              <w:t>Цепь занимает передний план, человек с картой — средний, а светлый дверной проём замыкает фон. Человек проводит пальцем по маршруту на карте. Кадр раскрывает три отчётливых плана глубины.</w:t>
            </w:r>
            <w:r>
              <w:rPr>
                <w:color w:val="475569"/>
              </w:rPr>
              <w:br/>
              <w:t>Зачем этот момент: Кадр 4 продолжает подтверждённую синтетическую визуальную последовательность.</w:t>
            </w:r>
          </w:p>
        </w:tc>
      </w:tr>
      <w:tr>
        <w:tc>
          <w:tcPr>
            <w:tcW w:type="dxa" w:w="1613"/>
          </w:tcPr>
          <w:p>
            <w:r>
              <w:t>00:05.000–00:06.750</w:t>
            </w:r>
          </w:p>
        </w:tc>
        <w:tc>
          <w:tcPr>
            <w:tcW w:type="dxa" w:w="8424"/>
          </w:tcPr>
          <w:p>
            <w:r>
              <w:t>Наклонённое отражение создаёт субъективный ракурс, но точное положение камеры остаётся неясным. Человек поворачивается к зеркалу. Устойчивый объективный взгляд сменяется ограниченно подтверждённой субъективной точкой зрения.</w:t>
            </w:r>
            <w:r>
              <w:rPr>
                <w:color w:val="475569"/>
              </w:rPr>
              <w:br/>
              <w:t>Зачем этот момент: Кадр 5 продолжает подтверждённую синтетическую визуальную последовательность.</w:t>
            </w:r>
          </w:p>
        </w:tc>
      </w:tr>
      <w:tr>
        <w:tc>
          <w:tcPr>
            <w:tcW w:type="dxa" w:w="1613"/>
          </w:tcPr>
          <w:p>
            <w:r>
              <w:t>00:06.750–00:08.375</w:t>
            </w:r>
          </w:p>
        </w:tc>
        <w:tc>
          <w:tcPr>
            <w:tcW w:type="dxa" w:w="8424"/>
          </w:tcPr>
          <w:p>
            <w:r>
              <w:t>В финальном кадре у тёмного дверного проёма видна неясная фигура; детали съёмки недоступны. Фигура остаётся неразличимой до конца фрагмента. Последовательность завершается без выдумывания недоступных визуальных деталей.</w:t>
            </w:r>
            <w:r>
              <w:rPr>
                <w:color w:val="475569"/>
              </w:rPr>
              <w:br/>
              <w:t>Зачем этот момент: Кадр 6 продолжает подтверждённую синтетическую визуальную последовательность.</w:t>
            </w:r>
          </w:p>
        </w:tc>
      </w:tr>
    </w:tbl>
    <w:p>
      <w:pPr>
        <w:pStyle w:val="Heading1"/>
      </w:pPr>
      <w:r>
        <w:t>Ограничения</w:t>
      </w:r>
    </w:p>
    <w:p>
      <w:pPr>
        <w:pStyle w:val="ListBullet"/>
      </w:pPr>
      <w:r>
        <w:t>Речь, музыка и окружающий звук в этом примере отдельно не проверялись.</w:t>
      </w:r>
    </w:p>
    <w:p>
      <w:pPr>
        <w:pStyle w:val="ListBullet"/>
      </w:pPr>
      <w:r>
        <w:t>Финальный кадр остаётся визуально неразрешённым; недоступные сведения о камере и персонаже не выдумываются.</w:t>
      </w:r>
    </w:p>
    <w:p>
      <w:r>
        <w:rPr>
          <w:i/>
        </w:rPr>
        <w:t>Статус доказательности: Частичная доказательность задана намеренно: визуальные тайминги доступны, а речь и звук не проверены.</w:t>
      </w:r>
    </w:p>
    <w:p>
      <w:pPr>
        <w:pStyle w:val="Heading1"/>
      </w:pPr>
      <w:r>
        <w:t>Граница адаптации</w:t>
      </w:r>
    </w:p>
    <w:p>
      <w:pPr>
        <w:pStyle w:val="Heading2"/>
      </w:pPr>
      <w:r>
        <w:t>Что можно использовать</w:t>
      </w:r>
    </w:p>
    <w:p>
      <w:pPr>
        <w:pStyle w:val="ListBullet"/>
      </w:pPr>
      <w:r>
        <w:t>Переход от камерной детали к широкому пространству и обратно к точной детали.</w:t>
      </w:r>
    </w:p>
    <w:p>
      <w:pPr>
        <w:pStyle w:val="ListBullet"/>
      </w:pPr>
      <w:r>
        <w:t>Трёхплановая композиция с передним, средним и задним планами.</w:t>
      </w:r>
    </w:p>
    <w:p>
      <w:pPr>
        <w:pStyle w:val="Heading2"/>
      </w:pPr>
      <w:r>
        <w:t>Что нельзя копировать</w:t>
      </w:r>
    </w:p>
    <w:p>
      <w:pPr>
        <w:pStyle w:val="ListBullet"/>
      </w:pPr>
      <w:r>
        <w:t>Нельзя копировать исходные изображения, названия, персонажей или точное содержание кадров.</w:t>
      </w:r>
    </w:p>
    <w:p>
      <w:pPr>
        <w:pStyle w:val="ListBullet"/>
      </w:pPr>
      <w:r>
        <w:t>Для новой цели нужны собственный бриф, новый контракт истории и независимо рассчитанный сценарий.</w:t>
      </w:r>
    </w:p>
    <w:p>
      <w:pPr>
        <w:sectPr>
          <w:footerReference w:type="default" r:id="rId9"/>
          <w:pgSz w:w="12240" w:h="15840"/>
          <w:pgMar w:top="893" w:right="1037" w:bottom="893" w:left="1037" w:header="720" w:footer="720" w:gutter="0"/>
          <w:cols w:space="720"/>
          <w:docGrid w:linePitch="360"/>
        </w:sectPr>
      </w:pPr>
    </w:p>
    <w:p>
      <w:r>
        <w:rPr>
          <w:b/>
        </w:rPr>
        <w:t>AI Publisher identity</w:t>
      </w:r>
    </w:p>
    <w:p>
      <w:pPr/>
      <w:r>
        <w:t>analysis_id: analysis-v1-synthetic-cinematic-frame-v3-0001</w:t>
      </w:r>
    </w:p>
    <w:p>
      <w:pPr/>
      <w:r>
        <w:t>revision: 1</w:t>
      </w:r>
    </w:p>
    <w:p>
      <w:pPr/>
      <w:r>
        <w:t>content_digest: cc489572ae1292e9ca0d0defeff40e62f70894965f61d4a058d1a91c1eb171c3</w:t>
      </w:r>
    </w:p>
    <w:p>
      <w:pPr/>
      <w:r>
        <w:t>display_locale: ru-RU</w:t>
      </w:r>
    </w:p>
    <w:p>
      <w:pPr/>
      <w:r>
        <w:t>display_digest: 4b29887be94becfd494835246baa2c485cfe3bb9db59ac4bd42ca1d83074d4e0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AI Publisher · ru-RU · analysis-v1-synthetic-cinematic-frame-v3-0001 · revision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cp:Properties xmlns:cp="http://schemas.openxmlformats.org/officeDocument/2006/custom-properties" xmlns:vt="http://schemas.openxmlformats.org/officeDocument/2006/docPropsVTypes">
  <cp:property fmtid="{D5CDD505-2E9C-101B-9397-08002B2CF9AE}" pid="2" name="ap_analysis_id">
    <vt:lpwstr>analysis-v1-synthetic-cinematic-frame-v3-0001</vt:lpwstr>
  </cp:property>
  <cp:property fmtid="{D5CDD505-2E9C-101B-9397-08002B2CF9AE}" pid="3" name="ap_analysis_revision">
    <vt:i4>1</vt:i4>
  </cp:property>
  <cp:property fmtid="{D5CDD505-2E9C-101B-9397-08002B2CF9AE}" pid="4" name="ap_content_digest">
    <vt:lpwstr>cc489572ae1292e9ca0d0defeff40e62f70894965f61d4a058d1a91c1eb171c3</vt:lpwstr>
  </cp:property>
  <cp:property fmtid="{D5CDD505-2E9C-101B-9397-08002B2CF9AE}" pid="5" name="ap_display_locale">
    <vt:lpwstr>ru-RU</vt:lpwstr>
  </cp:property>
  <cp:property fmtid="{D5CDD505-2E9C-101B-9397-08002B2CF9AE}" pid="6" name="ap_projection_revision">
    <vt:i4>1</vt:i4>
  </cp:property>
  <cp:property fmtid="{D5CDD505-2E9C-101B-9397-08002B2CF9AE}" pid="7" name="ap_display_projection_digest">
    <vt:lpwstr>4b29887be94becfd494835246baa2c485cfe3bb9db59ac4bd42ca1d83074d4e0</vt:lpwstr>
  </cp:property>
  <cp:property fmtid="{D5CDD505-2E9C-101B-9397-08002B2CF9AE}" pid="8" name="ap_display_projection_digest_scope">
    <vt:lpwstr>ai_publisher.result_display_projection.v2</vt:lpwstr>
  </cp:property>
  <cp:property fmtid="{D5CDD505-2E9C-101B-9397-08002B2CF9AE}" pid="9" name="ap_source_row_order_digest">
    <vt:lpwstr>c72ef9fcc0c4104c7b7b38d914eeb660dadcbba8bfaead6b14bac75941d7d347</vt:lpwstr>
  </cp:property>
  <cp:property fmtid="{D5CDD505-2E9C-101B-9397-08002B2CF9AE}" pid="10" name="ap_canonical_agent_sha256">
    <vt:lpwstr>4a91010657aa7f81d7a4ff51f9ab7e575747640cdf936d48b4da4f7771d37d64</vt:lpwstr>
  </cp:property>
</cp:Properties>
</file>