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STRATEGI NEWSMAKER</w:t>
      </w:r>
    </w:p>
    <w:p>
      <w:pPr>
        <w:pStyle w:val="Heading1"/>
      </w:pPr>
      <w:r>
        <w:t>1. VISI &amp; POSITIONING</w:t>
      </w:r>
    </w:p>
    <w:p>
      <w:r>
        <w:t>• NewsMaker adalah pusat edukasi netral &amp; independen.</w:t>
        <w:br/>
        <w:t>• Fokus utama: trader ritel Indonesia &amp; edukasi BC/SBC.</w:t>
        <w:br/>
        <w:t>• Tidak berafiliasi secara hukum dengan PT manapun, namun memberikan value ke semua cabang Solid Group.</w:t>
      </w:r>
    </w:p>
    <w:p>
      <w:pPr>
        <w:pStyle w:val="Heading1"/>
      </w:pPr>
      <w:r>
        <w:t>2. STRUKTUR &amp; ORGANISASI</w:t>
      </w:r>
    </w:p>
    <w:p>
      <w:r>
        <w:t>• Tim ramping ±21 orang dalam 4 divisi utama: Konten, Komunitas, Platform, Operasional.</w:t>
        <w:br/>
        <w:t>• Sudah tersedia SOP, kalender kerja, dan struktur folder internal.</w:t>
      </w:r>
    </w:p>
    <w:p>
      <w:pPr>
        <w:pStyle w:val="Heading1"/>
      </w:pPr>
      <w:r>
        <w:t>3. STRATEGI KONTEN TIKTOK &amp; IG</w:t>
      </w:r>
    </w:p>
    <w:p>
      <w:r>
        <w:t>• Live harian 3 shift (5–8x/hari), VT edukasi dengan narasi AI dan carousel IG.</w:t>
        <w:br/>
        <w:t>• Siang: “Manager Talk” (rotasi 40 cabang).</w:t>
        <w:br/>
        <w:t>• Malam (1x/minggu): “Industry Insight” dengan narasumber eksternal.</w:t>
      </w:r>
    </w:p>
    <w:p>
      <w:pPr>
        <w:pStyle w:val="Heading1"/>
      </w:pPr>
      <w:r>
        <w:t>4. WEBSITE &amp; KONEKSI SOLID GROUP</w:t>
      </w:r>
    </w:p>
    <w:p>
      <w:r>
        <w:t>• Konsolidasi 10 website menjadi 5.</w:t>
        <w:br/>
        <w:t>• NewsMaker menjadi sumber berita industri.</w:t>
        <w:br/>
        <w:t>• Tidak terlihat afiliasi, tapi mengarahkan narasi &amp; edukasi.</w:t>
        <w:br/>
        <w:t>• Sistem tracking, pelabelan konten, dan dashboard per cabang disiapkan.</w:t>
      </w:r>
    </w:p>
    <w:p>
      <w:pPr>
        <w:pStyle w:val="Heading1"/>
      </w:pPr>
      <w:r>
        <w:t>5. STRATEGI NETRALITAS</w:t>
      </w:r>
    </w:p>
    <w:p>
      <w:r>
        <w:t>• Penyebutan PT hanya sebagai identitas profesional.</w:t>
        <w:br/>
        <w:t>• Dilarang ajakan transaksi langsung.</w:t>
        <w:br/>
        <w:t>• Sudah dibuat skrip pembuka/penutup dan panduan kata aman/live.</w:t>
      </w:r>
    </w:p>
    <w:p>
      <w:pPr>
        <w:pStyle w:val="Heading1"/>
      </w:pPr>
      <w:r>
        <w:t>6. EDUKASI &amp; KOMUNITAS</w:t>
      </w:r>
    </w:p>
    <w:p>
      <w:r>
        <w:t>• Modul pelatihan BC/SBC 4 minggu.</w:t>
        <w:br/>
        <w:t>• Program loyalitas: Top Viewer, Quiz Champion, Badge.</w:t>
        <w:br/>
        <w:t>• Rubrik edukasi publik dan internal terpisah.</w:t>
        <w:br/>
        <w:t>• Sistem insight mingguan disiapkan.</w:t>
      </w:r>
    </w:p>
    <w:p>
      <w:pPr>
        <w:pStyle w:val="Heading1"/>
      </w:pPr>
      <w:r>
        <w:t>7. IMPLEMENTASI MINGGUAN</w:t>
      </w:r>
    </w:p>
    <w:p>
      <w:r>
        <w:t>Minggu 1: Sosialisasi struktur &amp; SOP</w:t>
        <w:br/>
        <w:t>Minggu 2: Gunakan dashboard insight</w:t>
        <w:br/>
        <w:t>Minggu 3: Launch “Manager Talk”</w:t>
        <w:br/>
        <w:t>Minggu 4: Live mingguan eksternal</w:t>
        <w:br/>
        <w:t>Minggu 5+: Komunitas &amp; pelatihan 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