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Strategi Makro Business Development – Solid Group</w:t>
      </w:r>
    </w:p>
    <w:p>
      <w:pPr>
        <w:pStyle w:val="Heading1"/>
      </w:pPr>
      <w:r>
        <w:t>1. Pilar Strategi Jangka Panjang BD</w:t>
      </w:r>
    </w:p>
    <w:p>
      <w:pPr>
        <w:pStyle w:val="ListBullet"/>
      </w:pPr>
      <w:r>
        <w:t>Fungsi inti jangka panjang BD yang dijaga dan dikembangkan meski proyek berganti:</w:t>
      </w:r>
    </w:p>
    <w:p>
      <w:pPr>
        <w:pStyle w:val="ListBullet"/>
      </w:pPr>
      <w:r>
        <w:t>- Digitalisasi &amp; Teknologi → CTO internal semua PT</w:t>
      </w:r>
    </w:p>
    <w:p>
      <w:pPr>
        <w:pStyle w:val="ListBullet"/>
      </w:pPr>
      <w:r>
        <w:t>- Edukasi &amp; Media → NM, konten edukatif lintas PT</w:t>
      </w:r>
    </w:p>
    <w:p>
      <w:pPr>
        <w:pStyle w:val="ListBullet"/>
      </w:pPr>
      <w:r>
        <w:t>- Transformasi SDM &amp; Budaya Kerja → audit, onboarding, kurikulum</w:t>
      </w:r>
    </w:p>
    <w:p>
      <w:pPr>
        <w:pStyle w:val="ListBullet"/>
      </w:pPr>
      <w:r>
        <w:t>- Proyek Bisnis Baru → inkubator SGB Mini, ide PT baru</w:t>
      </w:r>
    </w:p>
    <w:p>
      <w:pPr>
        <w:pStyle w:val="Heading1"/>
      </w:pPr>
      <w:r>
        <w:t>2. Ciri Khas dan Kultur Kerja BD</w:t>
      </w:r>
    </w:p>
    <w:p>
      <w:pPr>
        <w:pStyle w:val="ListBullet"/>
      </w:pPr>
      <w:r>
        <w:t>Nilai-nilai unik BD dibanding divisi lain di SG:</w:t>
      </w:r>
    </w:p>
    <w:p>
      <w:pPr>
        <w:pStyle w:val="ListBullet"/>
      </w:pPr>
      <w:r>
        <w:t>- Speed over protocol</w:t>
      </w:r>
    </w:p>
    <w:p>
      <w:pPr>
        <w:pStyle w:val="ListBullet"/>
      </w:pPr>
      <w:r>
        <w:t>- Meritocracy (berbasis hasil, bukan jabatan)</w:t>
      </w:r>
    </w:p>
    <w:p>
      <w:pPr>
        <w:pStyle w:val="ListBullet"/>
      </w:pPr>
      <w:r>
        <w:t>- Kolaboratif, bukan hirarkis</w:t>
      </w:r>
    </w:p>
    <w:p>
      <w:pPr>
        <w:pStyle w:val="ListBullet"/>
      </w:pPr>
      <w:r>
        <w:t>- Data-driven + kreatif dalam pelaksanaan</w:t>
      </w:r>
    </w:p>
    <w:p>
      <w:pPr>
        <w:pStyle w:val="Heading1"/>
      </w:pPr>
      <w:r>
        <w:t>3. Sistem Warisan / Legacy BD</w:t>
      </w:r>
    </w:p>
    <w:p>
      <w:pPr>
        <w:pStyle w:val="ListBullet"/>
      </w:pPr>
      <w:r>
        <w:t>Agar BD tetap hidup dan kuat walau DR tidak aktif secara langsung:</w:t>
      </w:r>
    </w:p>
    <w:p>
      <w:pPr>
        <w:pStyle w:val="ListBullet"/>
      </w:pPr>
      <w:r>
        <w:t>- Buku panduan “Blueprint BD SG”</w:t>
      </w:r>
    </w:p>
    <w:p>
      <w:pPr>
        <w:pStyle w:val="ListBullet"/>
      </w:pPr>
      <w:r>
        <w:t>- Akademi BD untuk regenerasi kader internal</w:t>
      </w:r>
    </w:p>
    <w:p>
      <w:pPr>
        <w:pStyle w:val="ListBullet"/>
      </w:pPr>
      <w:r>
        <w:t>- Sistem kaderisasi &amp; pelatihan berjenjang CoE dan PM</w:t>
      </w:r>
    </w:p>
    <w:p>
      <w:pPr>
        <w:pStyle w:val="Heading1"/>
      </w:pPr>
      <w:r>
        <w:t>4. Replikasi BD untuk PT Masa Depan</w:t>
      </w:r>
    </w:p>
    <w:p>
      <w:pPr>
        <w:pStyle w:val="ListBullet"/>
      </w:pPr>
      <w:r>
        <w:t>Jika SG ekspansi ke PT ke-6, sektor baru, atau luar negeri, BD siap menjadi:</w:t>
      </w:r>
    </w:p>
    <w:p>
      <w:pPr>
        <w:pStyle w:val="ListBullet"/>
      </w:pPr>
      <w:r>
        <w:t>- Core System Provider</w:t>
      </w:r>
    </w:p>
    <w:p>
      <w:pPr>
        <w:pStyle w:val="ListBullet"/>
      </w:pPr>
      <w:r>
        <w:t>- Brand Strategist</w:t>
      </w:r>
    </w:p>
    <w:p>
      <w:pPr>
        <w:pStyle w:val="ListBullet"/>
      </w:pPr>
      <w:r>
        <w:t>- Operational Architect bagi entitas baru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