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748D" w14:textId="77777777" w:rsidR="007C1C3E" w:rsidRDefault="00E72268">
      <w:pPr>
        <w:jc w:val="center"/>
      </w:pPr>
      <w:r>
        <w:rPr>
          <w:rFonts w:ascii="Aptos Display" w:hAnsi="Aptos Display"/>
          <w:b/>
          <w:color w:val="1F4E79"/>
          <w:sz w:val="48"/>
        </w:rPr>
        <w:t>Action Plan</w:t>
      </w:r>
    </w:p>
    <w:p w14:paraId="48DC84E1" w14:textId="77777777" w:rsidR="007C1C3E" w:rsidRDefault="00E72268">
      <w:pPr>
        <w:jc w:val="center"/>
      </w:pPr>
      <w:r>
        <w:rPr>
          <w:i/>
          <w:color w:val="595959"/>
          <w:sz w:val="24"/>
        </w:rPr>
        <w:t>BIND567, COMP042, and COMP043 Supply Chain, Quality, and Compliance Issues</w:t>
      </w:r>
    </w:p>
    <w:tbl>
      <w:tblPr>
        <w:tblW w:w="0" w:type="auto"/>
        <w:jc w:val="center"/>
        <w:tblBorders>
          <w:top w:val="single" w:sz="8" w:space="0" w:color="B4C6E7"/>
          <w:left w:val="single" w:sz="8" w:space="0" w:color="B4C6E7"/>
          <w:bottom w:val="single" w:sz="8" w:space="0" w:color="B4C6E7"/>
          <w:right w:val="single" w:sz="8" w:space="0" w:color="B4C6E7"/>
          <w:insideH w:val="single" w:sz="8" w:space="0" w:color="B4C6E7"/>
          <w:insideV w:val="single" w:sz="8" w:space="0" w:color="B4C6E7"/>
        </w:tblBorders>
        <w:tblLook w:val="04A0" w:firstRow="1" w:lastRow="0" w:firstColumn="1" w:lastColumn="0" w:noHBand="0" w:noVBand="1"/>
      </w:tblPr>
      <w:tblGrid>
        <w:gridCol w:w="10146"/>
      </w:tblGrid>
      <w:tr w:rsidR="007C1C3E" w14:paraId="6D7D74A8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5D278A7C" w14:textId="77777777" w:rsidR="007C1C3E" w:rsidRDefault="00E72268">
            <w:pPr>
              <w:spacing w:after="40" w:line="259" w:lineRule="auto"/>
            </w:pPr>
            <w:r>
              <w:t>Purpose: Stabilize impacted component supply, close quality and GMP risks, improve traceability, and maintain FDA-aligned documentation through coordinated cross-functional execution.</w:t>
            </w:r>
          </w:p>
        </w:tc>
      </w:tr>
    </w:tbl>
    <w:p w14:paraId="39421546" w14:textId="77777777" w:rsidR="007C1C3E" w:rsidRDefault="00E72268">
      <w:pPr>
        <w:pStyle w:val="Heading1"/>
      </w:pPr>
      <w:r>
        <w:t>General Strategies</w:t>
      </w:r>
    </w:p>
    <w:p w14:paraId="42914C9B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Establish a cross-functional task force with Quality, Procurement, Manufacturing, Supply Chain, and Compliance representatives to oversee remediation and provide weekly status updates.</w:t>
      </w:r>
    </w:p>
    <w:p w14:paraId="182F8649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Prioritize FDA compliance by proactively documenting risks, corrective actions, and mitigation plans across all impacted components.</w:t>
      </w:r>
    </w:p>
    <w:p w14:paraId="64729143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Reduce supplier dependency risk through contingency and parallel sourcing strategies for critical components.</w:t>
      </w:r>
    </w:p>
    <w:p w14:paraId="6B26D626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Strengthen supplier governance through enhanced audits, performance monitoring, and corrective action tracking.</w:t>
      </w:r>
    </w:p>
    <w:p w14:paraId="2C77C5A6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Improve material traceability and incoming quality controls to prevent future production disruptions.</w:t>
      </w:r>
    </w:p>
    <w:p w14:paraId="252B7670" w14:textId="77777777" w:rsidR="007C1C3E" w:rsidRDefault="00E72268">
      <w:pPr>
        <w:pStyle w:val="Heading1"/>
      </w:pPr>
      <w:r>
        <w:t>Immediate Actions</w:t>
      </w:r>
    </w:p>
    <w:tbl>
      <w:tblPr>
        <w:tblW w:w="0" w:type="auto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048"/>
        <w:gridCol w:w="2880"/>
      </w:tblGrid>
      <w:tr w:rsidR="007C1C3E" w14:paraId="51D1538F" w14:textId="77777777">
        <w:trPr>
          <w:jc w:val="center"/>
        </w:trPr>
        <w:tc>
          <w:tcPr>
            <w:tcW w:w="151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089E2F" w14:textId="77777777" w:rsidR="007C1C3E" w:rsidRDefault="00E72268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6048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CEE99" w14:textId="77777777" w:rsidR="007C1C3E" w:rsidRDefault="00E72268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Priority Actions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19FCAE" w14:textId="77777777" w:rsidR="007C1C3E" w:rsidRDefault="00E72268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Primary Focus</w:t>
            </w:r>
          </w:p>
        </w:tc>
      </w:tr>
      <w:tr w:rsidR="007C1C3E" w14:paraId="4B462DDC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ED8793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9"/>
              </w:rPr>
              <w:t>BIND567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A984E9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Validate all current batches; tighten incoming material controls; escalate EcoSupply concerns and request a formal corrective action plan with timelines.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FC3A78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Quality control and supplier escalation</w:t>
            </w:r>
          </w:p>
        </w:tc>
      </w:tr>
      <w:tr w:rsidR="007C1C3E" w14:paraId="593787B4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49AF48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9"/>
              </w:rPr>
              <w:t>COMP042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9EA683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Audit PrimeLogistics for shipment delays, traceability failures, and documentation discrepancies; document gaps and create a risk register.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E59ACF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Traceability, logistics, and compliance documentation</w:t>
            </w:r>
          </w:p>
        </w:tc>
      </w:tr>
      <w:tr w:rsidR="007C1C3E" w14:paraId="1E48712A" w14:textId="77777777">
        <w:trPr>
          <w:jc w:val="center"/>
        </w:trPr>
        <w:tc>
          <w:tcPr>
            <w:tcW w:w="1512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C32E7A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9"/>
              </w:rPr>
              <w:t>COMP043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F701E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Engage supplier on GMP violations and contamination risks; define remediation milestones; assess inventory and stockout exposure.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3981F5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GMP remediation and stockout mitigation</w:t>
            </w:r>
          </w:p>
        </w:tc>
      </w:tr>
    </w:tbl>
    <w:p w14:paraId="637824FE" w14:textId="77777777" w:rsidR="007C1C3E" w:rsidRDefault="00E72268">
      <w:pPr>
        <w:pStyle w:val="Heading1"/>
      </w:pPr>
      <w:r>
        <w:t>Short-Term Actions (1–3 Weeks)</w:t>
      </w:r>
    </w:p>
    <w:p w14:paraId="3DA47AFD" w14:textId="77777777" w:rsidR="007C1C3E" w:rsidRDefault="00E72268">
      <w:pPr>
        <w:spacing w:before="80"/>
      </w:pPr>
      <w:r>
        <w:rPr>
          <w:b/>
          <w:color w:val="2F5496"/>
          <w:sz w:val="22"/>
        </w:rPr>
        <w:t>Supplier Risk Mitigation</w:t>
      </w:r>
    </w:p>
    <w:p w14:paraId="567758E5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Expedite onboarding of approved alternative suppliers for BIND567.</w:t>
      </w:r>
    </w:p>
    <w:p w14:paraId="3FA1F94D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Evaluate secondary suppliers for COMP043 and begin parallel sourcing activities.</w:t>
      </w:r>
    </w:p>
    <w:p w14:paraId="2B483620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Conduct supplier capability reviews to confirm quality, GMP, and delivery readiness.</w:t>
      </w:r>
    </w:p>
    <w:p w14:paraId="62062E95" w14:textId="77777777" w:rsidR="007C1C3E" w:rsidRDefault="00E72268">
      <w:pPr>
        <w:spacing w:before="80"/>
      </w:pPr>
      <w:r>
        <w:rPr>
          <w:b/>
          <w:color w:val="2F5496"/>
          <w:sz w:val="22"/>
        </w:rPr>
        <w:t>Compliance &amp; Documentation</w:t>
      </w:r>
    </w:p>
    <w:p w14:paraId="4FA6E43D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Complete a comprehensive report capturing traceability issues, quality failures, supplier non-conformances, and corrective actions.</w:t>
      </w:r>
    </w:p>
    <w:p w14:paraId="64191EE9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Prepare supporting documentation demonstrating proactive risk management for potential FDA review.</w:t>
      </w:r>
    </w:p>
    <w:p w14:paraId="44948C7C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Standardize lot-tracking and shipment-verification documentation practices.</w:t>
      </w:r>
    </w:p>
    <w:p w14:paraId="4C998752" w14:textId="77777777" w:rsidR="007C1C3E" w:rsidRDefault="00E72268">
      <w:pPr>
        <w:spacing w:before="80"/>
      </w:pPr>
      <w:r>
        <w:rPr>
          <w:b/>
          <w:color w:val="2F5496"/>
          <w:sz w:val="22"/>
        </w:rPr>
        <w:t>Operational Recovery</w:t>
      </w:r>
    </w:p>
    <w:p w14:paraId="7EF4A064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lastRenderedPageBreak/>
        <w:t>Develop production contingency plans to reduce disruption from supplier delays or stockouts.</w:t>
      </w:r>
    </w:p>
    <w:p w14:paraId="7211B6CB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Reassess production schedules and resource allocation to recover lost capacity.</w:t>
      </w:r>
    </w:p>
    <w:p w14:paraId="548A0D36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Establish weekly executive reviews to monitor progress, risks, and escalations.</w:t>
      </w:r>
    </w:p>
    <w:p w14:paraId="2FE5AC06" w14:textId="77777777" w:rsidR="007C1C3E" w:rsidRDefault="00E72268">
      <w:pPr>
        <w:pStyle w:val="Heading1"/>
      </w:pPr>
      <w:r>
        <w:t>Ongoing Actions</w:t>
      </w:r>
    </w:p>
    <w:p w14:paraId="0EE2E9F3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Maintain weekly cross-functional governance meetings to review progress, risks, and open actions.</w:t>
      </w:r>
    </w:p>
    <w:p w14:paraId="5439D52E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Monitor supplier performance using quality, delivery, traceability, and compliance metrics.</w:t>
      </w:r>
    </w:p>
    <w:p w14:paraId="5AB1EEF2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Conduct recurring GMP and quality audits for critical suppliers.</w:t>
      </w:r>
    </w:p>
    <w:p w14:paraId="23B4AB2A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Maintain contingency suppliers for critical components to reduce future supply disruption.</w:t>
      </w:r>
    </w:p>
    <w:p w14:paraId="05FC9005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Track corrective action completion and verify effectiveness through follow-up assessments.</w:t>
      </w:r>
    </w:p>
    <w:p w14:paraId="276839A3" w14:textId="77777777" w:rsidR="007C1C3E" w:rsidRDefault="00E72268">
      <w:pPr>
        <w:pStyle w:val="ListBullet"/>
        <w:spacing w:after="60" w:line="252" w:lineRule="auto"/>
      </w:pPr>
      <w:r>
        <w:rPr>
          <w:sz w:val="20"/>
        </w:rPr>
        <w:t>Continue strengthening end-to-end supply chain traceability and documentation controls.</w:t>
      </w:r>
    </w:p>
    <w:p w14:paraId="1EB148F7" w14:textId="77777777" w:rsidR="007C1C3E" w:rsidRDefault="00E72268">
      <w:pPr>
        <w:pStyle w:val="Heading1"/>
      </w:pPr>
      <w:r>
        <w:t>Success Metrics</w:t>
      </w:r>
    </w:p>
    <w:tbl>
      <w:tblPr>
        <w:tblW w:w="0" w:type="auto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ook w:val="04A0" w:firstRow="1" w:lastRow="0" w:firstColumn="1" w:lastColumn="0" w:noHBand="0" w:noVBand="1"/>
      </w:tblPr>
      <w:tblGrid>
        <w:gridCol w:w="3046"/>
        <w:gridCol w:w="7100"/>
      </w:tblGrid>
      <w:tr w:rsidR="007C1C3E" w14:paraId="664D70AD" w14:textId="77777777">
        <w:trPr>
          <w:jc w:val="center"/>
        </w:trPr>
        <w:tc>
          <w:tcPr>
            <w:tcW w:w="3168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BB1DD" w14:textId="77777777" w:rsidR="007C1C3E" w:rsidRDefault="00E72268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Metric Area</w:t>
            </w:r>
          </w:p>
        </w:tc>
        <w:tc>
          <w:tcPr>
            <w:tcW w:w="7488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F6F28B" w14:textId="77777777" w:rsidR="007C1C3E" w:rsidRDefault="00E72268">
            <w:pPr>
              <w:spacing w:after="40" w:line="259" w:lineRule="auto"/>
            </w:pPr>
            <w:r>
              <w:rPr>
                <w:b/>
                <w:color w:val="FFFFFF"/>
                <w:sz w:val="19"/>
              </w:rPr>
              <w:t>Target Outcome</w:t>
            </w:r>
          </w:p>
        </w:tc>
      </w:tr>
      <w:tr w:rsidR="007C1C3E" w14:paraId="6D555CBE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0C5442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8"/>
              </w:rPr>
              <w:t>BIND567 Quality</w:t>
            </w:r>
          </w:p>
        </w:tc>
        <w:tc>
          <w:tcPr>
            <w:tcW w:w="748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5A5140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Reduced component rejection rates after validation and incoming-control improvements.</w:t>
            </w:r>
          </w:p>
        </w:tc>
      </w:tr>
      <w:tr w:rsidR="007C1C3E" w14:paraId="0040E26B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D6A72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8"/>
              </w:rPr>
              <w:t>COMP042 Traceability</w:t>
            </w:r>
          </w:p>
        </w:tc>
        <w:tc>
          <w:tcPr>
            <w:tcW w:w="748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7F15AA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Eliminated documentation gaps and improved lot-number alignment with shipment manifests.</w:t>
            </w:r>
          </w:p>
        </w:tc>
      </w:tr>
      <w:tr w:rsidR="007C1C3E" w14:paraId="4A953325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B7E89D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8"/>
              </w:rPr>
              <w:t>COMP043 GMP Compliance</w:t>
            </w:r>
          </w:p>
        </w:tc>
        <w:tc>
          <w:tcPr>
            <w:tcW w:w="748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87315D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Closed identified GMP violations and reduced contamination risk.</w:t>
            </w:r>
          </w:p>
        </w:tc>
      </w:tr>
      <w:tr w:rsidR="007C1C3E" w14:paraId="426179F1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E41817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8"/>
              </w:rPr>
              <w:t>Supply Continuity</w:t>
            </w:r>
          </w:p>
        </w:tc>
        <w:tc>
          <w:tcPr>
            <w:tcW w:w="748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A6FF9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Improved supplier delivery reliability and fewer production stockouts.</w:t>
            </w:r>
          </w:p>
        </w:tc>
      </w:tr>
      <w:tr w:rsidR="007C1C3E" w14:paraId="6DFC2A2F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C9E4F0" w14:textId="77777777" w:rsidR="007C1C3E" w:rsidRDefault="00E72268">
            <w:pPr>
              <w:spacing w:after="40" w:line="259" w:lineRule="auto"/>
            </w:pPr>
            <w:r>
              <w:rPr>
                <w:b/>
                <w:color w:val="1F4E79"/>
                <w:sz w:val="18"/>
              </w:rPr>
              <w:t>Regulatory Readiness</w:t>
            </w:r>
          </w:p>
        </w:tc>
        <w:tc>
          <w:tcPr>
            <w:tcW w:w="748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D4C163" w14:textId="77777777" w:rsidR="007C1C3E" w:rsidRDefault="00E72268">
            <w:pPr>
              <w:spacing w:after="40" w:line="259" w:lineRule="auto"/>
            </w:pPr>
            <w:r>
              <w:rPr>
                <w:sz w:val="18"/>
              </w:rPr>
              <w:t>Clear corrective-action evidence available for compliance review.</w:t>
            </w:r>
          </w:p>
        </w:tc>
      </w:tr>
    </w:tbl>
    <w:p w14:paraId="17BF8077" w14:textId="77777777" w:rsidR="007C1C3E" w:rsidRDefault="00E72268">
      <w:pPr>
        <w:spacing w:before="160"/>
      </w:pPr>
      <w:r>
        <w:rPr>
          <w:i/>
          <w:color w:val="595959"/>
          <w:sz w:val="17"/>
        </w:rPr>
        <w:t>Source: Teams Meeting Transcript.docx</w:t>
      </w:r>
    </w:p>
    <w:sectPr w:rsidR="007C1C3E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874062">
    <w:abstractNumId w:val="8"/>
  </w:num>
  <w:num w:numId="2" w16cid:durableId="2113158039">
    <w:abstractNumId w:val="6"/>
  </w:num>
  <w:num w:numId="3" w16cid:durableId="48191514">
    <w:abstractNumId w:val="5"/>
  </w:num>
  <w:num w:numId="4" w16cid:durableId="951519312">
    <w:abstractNumId w:val="4"/>
  </w:num>
  <w:num w:numId="5" w16cid:durableId="1603608640">
    <w:abstractNumId w:val="7"/>
  </w:num>
  <w:num w:numId="6" w16cid:durableId="1985506841">
    <w:abstractNumId w:val="3"/>
  </w:num>
  <w:num w:numId="7" w16cid:durableId="1435587492">
    <w:abstractNumId w:val="2"/>
  </w:num>
  <w:num w:numId="8" w16cid:durableId="2144690883">
    <w:abstractNumId w:val="1"/>
  </w:num>
  <w:num w:numId="9" w16cid:durableId="181648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75D"/>
    <w:rsid w:val="00034616"/>
    <w:rsid w:val="0006063C"/>
    <w:rsid w:val="0015074B"/>
    <w:rsid w:val="0029639D"/>
    <w:rsid w:val="002E37EF"/>
    <w:rsid w:val="00326F90"/>
    <w:rsid w:val="00460D12"/>
    <w:rsid w:val="007C1C3E"/>
    <w:rsid w:val="00AA1D8D"/>
    <w:rsid w:val="00B47730"/>
    <w:rsid w:val="00CB0664"/>
    <w:rsid w:val="00E72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662798-9665-432B-B368-D93740CF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3054</Characters>
  <Application>Microsoft Office Word</Application>
  <DocSecurity>0</DocSecurity>
  <Lines>51</Lines>
  <Paragraphs>25</Paragraphs>
  <ScaleCrop>false</ScaleCrop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Abouganba, Aisha [JJCUS]</dc:creator>
  <cp:keywords/>
  <dc:description>generated by python-docx</dc:description>
  <cp:lastModifiedBy>Abouganba, Aisha [JJCUS]</cp:lastModifiedBy>
  <cp:revision>2</cp:revision>
  <dcterms:created xsi:type="dcterms:W3CDTF">2026-07-07T20:16:00Z</dcterms:created>
  <dcterms:modified xsi:type="dcterms:W3CDTF">2026-07-07T20:16:00Z</dcterms:modified>
  <cp:category/>
</cp:coreProperties>
</file>