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698A" w14:textId="77777777" w:rsidR="001F27BB" w:rsidRDefault="00BD3AEE">
      <w:pPr>
        <w:pStyle w:val="Heading1"/>
        <w:rPr>
          <w:rFonts w:asciiTheme="minorHAnsi" w:hAnsiTheme="minorHAnsi" w:cstheme="minorBidi"/>
        </w:rPr>
      </w:pPr>
      <w:r w:rsidRPr="00BD3AEE">
        <w:rPr>
          <w:rFonts w:asciiTheme="minorHAnsi" w:hAnsiTheme="minorHAnsi" w:cstheme="minorBidi"/>
        </w:rPr>
        <w:t>Supply Chain Issue Analysis Report</w:t>
      </w:r>
    </w:p>
    <w:p w14:paraId="0339F9D1" w14:textId="77777777" w:rsidR="00BD3AEE" w:rsidRDefault="00BD3AEE">
      <w:pPr>
        <w:pStyle w:val="Heading2"/>
        <w:rPr>
          <w:rFonts w:asciiTheme="minorHAnsi" w:hAnsiTheme="minorHAnsi" w:cstheme="minorBidi"/>
        </w:rPr>
      </w:pPr>
      <w:r>
        <w:rPr>
          <w:rFonts w:asciiTheme="minorHAnsi" w:hAnsiTheme="minorHAnsi" w:cstheme="minorBidi"/>
        </w:rPr>
        <w:t>Executive Summary</w:t>
      </w:r>
    </w:p>
    <w:p w14:paraId="0A006535" w14:textId="77777777" w:rsidR="00BD3AEE" w:rsidRDefault="00BD3AEE">
      <w:r>
        <w:t>The Excel analysis identifies supply chain performance gaps across 50 component records, with the most critical issue concentrated in delayed components such as CARB123, BIND567, and COAT890. The overall average delivery timeline across suppliers is approximately 13.5 days, while medium-risk components show the longest average delivery timeline at 15.1 days across 24 records. Delayed components average a much longer delivery timeline of 36.15 days, indicating that certain materials create disproportionate operational and compliance exposure.</w:t>
      </w:r>
    </w:p>
    <w:p w14:paraId="3C978F7E" w14:textId="77777777" w:rsidR="00BD3AEE" w:rsidRDefault="00BD3AEE">
      <w:r>
        <w:t xml:space="preserve">Supplier performance varies meaningfully. </w:t>
      </w:r>
      <w:proofErr w:type="spellStart"/>
      <w:r>
        <w:t>EcoSupply</w:t>
      </w:r>
      <w:proofErr w:type="spellEnd"/>
      <w:r>
        <w:t xml:space="preserve"> has the lowest average on-time delivery rate at 87.9%, while </w:t>
      </w:r>
      <w:proofErr w:type="spellStart"/>
      <w:r>
        <w:t>PrimeLogistics</w:t>
      </w:r>
      <w:proofErr w:type="spellEnd"/>
      <w:r>
        <w:t xml:space="preserve"> </w:t>
      </w:r>
      <w:proofErr w:type="gramStart"/>
      <w:r>
        <w:t>shows</w:t>
      </w:r>
      <w:proofErr w:type="gramEnd"/>
      <w:r>
        <w:t xml:space="preserve"> the highest average defect rate at 2.89% and the lowest average quality inspection pass rate at 92.43%. These findings suggest that supply chain risk is driven by a combination of delivery variability, supplier reliability gaps, quality performance, and inventory planning constraints.</w:t>
      </w:r>
    </w:p>
    <w:p w14:paraId="729D08CF" w14:textId="77777777" w:rsidR="00BD3AEE" w:rsidRDefault="00BD3AEE">
      <w:pPr>
        <w:pStyle w:val="Heading2"/>
        <w:rPr>
          <w:rFonts w:asciiTheme="minorHAnsi" w:hAnsiTheme="minorHAnsi" w:cstheme="minorBidi"/>
        </w:rPr>
      </w:pPr>
      <w:r>
        <w:rPr>
          <w:rFonts w:asciiTheme="minorHAnsi" w:hAnsiTheme="minorHAnsi" w:cstheme="minorBidi"/>
        </w:rPr>
        <w:t>Component Overview</w:t>
      </w:r>
    </w:p>
    <w:tbl>
      <w:tblPr>
        <w:tblStyle w:val="GridTable4-Accent1"/>
        <w:tblW w:w="0" w:type="auto"/>
        <w:tblInd w:w="0" w:type="dxa"/>
        <w:tblLook w:val="04A0" w:firstRow="1" w:lastRow="0" w:firstColumn="1" w:lastColumn="0" w:noHBand="0" w:noVBand="1"/>
      </w:tblPr>
      <w:tblGrid>
        <w:gridCol w:w="1513"/>
        <w:gridCol w:w="1130"/>
        <w:gridCol w:w="1412"/>
        <w:gridCol w:w="1475"/>
        <w:gridCol w:w="3814"/>
      </w:tblGrid>
      <w:tr w:rsidR="00BD3AEE" w14:paraId="5E5CA6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A40E74" w14:textId="77777777" w:rsidR="00BD3AEE" w:rsidRDefault="00BD3AEE">
            <w:pPr>
              <w:spacing w:after="160"/>
            </w:pPr>
            <w:r>
              <w:rPr>
                <w:b/>
                <w:bCs/>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B47DD" w14:textId="77777777" w:rsidR="00BD3AEE" w:rsidRDefault="00BD3AEE">
            <w:pPr>
              <w:spacing w:after="160"/>
            </w:pPr>
            <w:r>
              <w:rPr>
                <w:b/>
                <w:bCs/>
              </w:rPr>
              <w:t>Record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0CD50" w14:textId="77777777" w:rsidR="00BD3AEE" w:rsidRDefault="00BD3AEE">
            <w:pPr>
              <w:spacing w:after="160"/>
            </w:pPr>
            <w:r>
              <w:rPr>
                <w:b/>
                <w:bCs/>
              </w:rPr>
              <w:t>Avg Delivery Timeline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162B5" w14:textId="77777777" w:rsidR="00BD3AEE" w:rsidRDefault="00BD3AEE">
            <w:pPr>
              <w:spacing w:after="160"/>
            </w:pPr>
            <w:r>
              <w:rPr>
                <w:b/>
                <w:bCs/>
              </w:rPr>
              <w:t>Avg On-Time Delivery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4A222" w14:textId="77777777" w:rsidR="00BD3AEE" w:rsidRDefault="00BD3AEE">
            <w:pPr>
              <w:spacing w:after="160"/>
            </w:pPr>
            <w:r>
              <w:rPr>
                <w:b/>
                <w:bCs/>
              </w:rPr>
              <w:t>Key Issue</w:t>
            </w:r>
          </w:p>
        </w:tc>
      </w:tr>
      <w:tr w:rsidR="00BD3AEE" w14:paraId="00CD3B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77E602" w14:textId="77777777" w:rsidR="00BD3AEE" w:rsidRDefault="00BD3AEE">
            <w:pPr>
              <w:spacing w:after="160"/>
            </w:pPr>
            <w:r>
              <w:t>CARB123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FA4E8" w14:textId="77777777" w:rsidR="00BD3AEE" w:rsidRDefault="00BD3AEE">
            <w:pPr>
              <w:spacing w:after="160"/>
            </w:pPr>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62B60" w14:textId="77777777" w:rsidR="00BD3AEE" w:rsidRDefault="00BD3AEE">
            <w:pPr>
              <w:spacing w:after="160"/>
            </w:pPr>
            <w:r>
              <w:t>23.25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AEC93" w14:textId="77777777" w:rsidR="00BD3AEE" w:rsidRDefault="00BD3AEE">
            <w:pPr>
              <w:spacing w:after="160"/>
            </w:pPr>
            <w:r>
              <w:t>90.25%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2900D" w14:textId="77777777" w:rsidR="00BD3AEE" w:rsidRDefault="00BD3AEE">
            <w:pPr>
              <w:spacing w:after="160"/>
            </w:pPr>
            <w:r>
              <w:t>Repeated delivery variability and mixed risk levels, including high-risk records requiring expedite shipping and inventory increases.</w:t>
            </w:r>
          </w:p>
        </w:tc>
      </w:tr>
      <w:tr w:rsidR="00BD3AEE" w14:paraId="7DB140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81FBF2" w14:textId="77777777" w:rsidR="00BD3AEE" w:rsidRDefault="00BD3AEE">
            <w:pPr>
              <w:spacing w:after="160"/>
            </w:pPr>
            <w:r>
              <w:t>BIND567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B59DF" w14:textId="77777777" w:rsidR="00BD3AEE" w:rsidRDefault="00BD3AEE">
            <w:pPr>
              <w:spacing w:after="160"/>
            </w:pPr>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36E9E" w14:textId="77777777" w:rsidR="00BD3AEE" w:rsidRDefault="00BD3AEE">
            <w:pPr>
              <w:spacing w:after="160"/>
            </w:pPr>
            <w:r>
              <w:t>64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77C7F" w14:textId="77777777" w:rsidR="00BD3AEE" w:rsidRDefault="00BD3AEE">
            <w:pPr>
              <w:spacing w:after="160"/>
            </w:pPr>
            <w: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FB721" w14:textId="77777777" w:rsidR="00BD3AEE" w:rsidRDefault="00BD3AEE">
            <w:pPr>
              <w:spacing w:after="160"/>
            </w:pPr>
            <w:r>
              <w:t>Extreme delivery timeline outlier despite strong supplier reliability and on-time delivery performance.</w:t>
            </w:r>
          </w:p>
        </w:tc>
      </w:tr>
      <w:tr w:rsidR="00BD3AEE" w14:paraId="74401C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F73033" w14:textId="77777777" w:rsidR="00BD3AEE" w:rsidRDefault="00BD3AEE">
            <w:pPr>
              <w:spacing w:after="160"/>
            </w:pPr>
            <w:r>
              <w:t>COAT890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0DD23" w14:textId="77777777" w:rsidR="00BD3AEE" w:rsidRDefault="00BD3AEE">
            <w:pPr>
              <w:spacing w:after="160"/>
            </w:pPr>
            <w: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03B90" w14:textId="77777777" w:rsidR="00BD3AEE" w:rsidRDefault="00BD3AEE">
            <w:pPr>
              <w:spacing w:after="160"/>
            </w:pPr>
            <w:r>
              <w:t>21.2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9F7D3" w14:textId="77777777" w:rsidR="00BD3AEE" w:rsidRDefault="00BD3AEE">
            <w:pPr>
              <w:spacing w:after="160"/>
            </w:pPr>
            <w:r>
              <w:t>84.2%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544E0" w14:textId="77777777" w:rsidR="00BD3AEE" w:rsidRDefault="00BD3AEE">
            <w:pPr>
              <w:spacing w:after="160"/>
            </w:pPr>
            <w:r>
              <w:t>Lowest on-time delivery performance among delayed components, indicating recurring schedule adherence risk.</w:t>
            </w:r>
          </w:p>
        </w:tc>
      </w:tr>
    </w:tbl>
    <w:p w14:paraId="24F3906F" w14:textId="77777777" w:rsidR="00BD3AEE" w:rsidRDefault="00BD3AEE">
      <w:r>
        <w:t xml:space="preserve">Across the broader dataset, risk levels are not aligned solely </w:t>
      </w:r>
      <w:proofErr w:type="gramStart"/>
      <w:r>
        <w:t>to</w:t>
      </w:r>
      <w:proofErr w:type="gramEnd"/>
      <w:r>
        <w:t xml:space="preserve"> delivery duration. High-risk components average 11.25 delivery days, medium-risk components average 15.13 days, and low-risk components average 12.86 days. This indicates that risk classification likely </w:t>
      </w:r>
      <w:r>
        <w:lastRenderedPageBreak/>
        <w:t>reflects multiple variables beyond lead time, including defect rate, supplier reliability, backorder exposure, quality pass rate, forecast accuracy, and inventory position.</w:t>
      </w:r>
    </w:p>
    <w:p w14:paraId="12F2D194" w14:textId="77777777" w:rsidR="00BD3AEE" w:rsidRDefault="00BD3AEE">
      <w:pPr>
        <w:pStyle w:val="Heading2"/>
        <w:rPr>
          <w:rFonts w:asciiTheme="minorHAnsi" w:hAnsiTheme="minorHAnsi" w:cstheme="minorBidi"/>
        </w:rPr>
      </w:pPr>
      <w:r>
        <w:rPr>
          <w:rFonts w:asciiTheme="minorHAnsi" w:hAnsiTheme="minorHAnsi" w:cstheme="minorBidi"/>
        </w:rPr>
        <w:t>Implications for Compliance</w:t>
      </w:r>
    </w:p>
    <w:p w14:paraId="52BCBE0A" w14:textId="77777777" w:rsidR="00BD3AEE" w:rsidRDefault="00BD3AEE">
      <w:r>
        <w:t>The supply chain issues identified in the analysis can create compliance exposure if delayed, defective, or unreliable components affect production continuity, documentation accuracy, quality release timing, or supplier qualification controls. In regulated environments, repeated delivery delays and quality variability may increase the risk of missed production commitments, incomplete traceability, deviation events, or increased reliance on expedited and exception-based processes.</w:t>
      </w:r>
    </w:p>
    <w:p w14:paraId="5B9D1AFF" w14:textId="77777777" w:rsidR="00BD3AEE" w:rsidRDefault="00BD3AEE" w:rsidP="00BD3AEE">
      <w:pPr>
        <w:pStyle w:val="ListParagraph"/>
        <w:numPr>
          <w:ilvl w:val="0"/>
          <w:numId w:val="1"/>
        </w:numPr>
      </w:pPr>
      <w:r w:rsidRPr="00BD3AEE">
        <w:rPr>
          <w:b/>
          <w:bCs/>
        </w:rPr>
        <w:t>Production continuity risk:</w:t>
      </w:r>
      <w:r>
        <w:t xml:space="preserve"> Longer delivery timelines and backorder volumes can disrupt planned production schedules and create pressure to use alternate sourcing or expedited decisions.</w:t>
      </w:r>
    </w:p>
    <w:p w14:paraId="35218506" w14:textId="77777777" w:rsidR="00BD3AEE" w:rsidRDefault="00BD3AEE" w:rsidP="00BD3AEE">
      <w:pPr>
        <w:pStyle w:val="ListParagraph"/>
        <w:numPr>
          <w:ilvl w:val="0"/>
          <w:numId w:val="1"/>
        </w:numPr>
      </w:pPr>
      <w:r>
        <w:rPr>
          <w:b/>
          <w:bCs/>
        </w:rPr>
        <w:t>Quality system risk:</w:t>
      </w:r>
      <w:r>
        <w:t xml:space="preserve"> Components with elevated defect rates or lower inspection pass rates may </w:t>
      </w:r>
      <w:proofErr w:type="gramStart"/>
      <w:r>
        <w:t>increase</w:t>
      </w:r>
      <w:proofErr w:type="gramEnd"/>
      <w:r>
        <w:t xml:space="preserve"> inspection burden, rework, rejection, or deviation management activity.</w:t>
      </w:r>
    </w:p>
    <w:p w14:paraId="61F90F98" w14:textId="77777777" w:rsidR="00BD3AEE" w:rsidRDefault="00BD3AEE" w:rsidP="00BD3AEE">
      <w:pPr>
        <w:pStyle w:val="ListParagraph"/>
        <w:numPr>
          <w:ilvl w:val="0"/>
          <w:numId w:val="1"/>
        </w:numPr>
      </w:pPr>
      <w:r>
        <w:rPr>
          <w:b/>
          <w:bCs/>
        </w:rPr>
        <w:t>Supplier control risk:</w:t>
      </w:r>
      <w:r>
        <w:t xml:space="preserve"> Suppliers with weaker reliability or on-time delivery trends may require additional monitoring, contract review, or supplier corrective actions.</w:t>
      </w:r>
    </w:p>
    <w:p w14:paraId="2AD820F2" w14:textId="77777777" w:rsidR="00BD3AEE" w:rsidRDefault="00BD3AEE" w:rsidP="00BD3AEE">
      <w:pPr>
        <w:pStyle w:val="ListParagraph"/>
        <w:numPr>
          <w:ilvl w:val="0"/>
          <w:numId w:val="1"/>
        </w:numPr>
      </w:pPr>
      <w:r>
        <w:rPr>
          <w:b/>
          <w:bCs/>
        </w:rPr>
        <w:t>Documentation and planning risk:</w:t>
      </w:r>
      <w:r>
        <w:t xml:space="preserve"> Forecast accuracy gaps, lead time variance, and inconsistent reorder planning can reduce confidence in supply planning records and inventory governance.</w:t>
      </w:r>
    </w:p>
    <w:p w14:paraId="3E81C9DB" w14:textId="77777777" w:rsidR="00BD3AEE" w:rsidRDefault="00BD3AEE">
      <w:pPr>
        <w:pStyle w:val="Heading2"/>
        <w:rPr>
          <w:rFonts w:asciiTheme="minorHAnsi" w:hAnsiTheme="minorHAnsi" w:cstheme="minorBidi"/>
        </w:rPr>
      </w:pPr>
      <w:r>
        <w:rPr>
          <w:rFonts w:asciiTheme="minorHAnsi" w:hAnsiTheme="minorHAnsi" w:cstheme="minorBidi"/>
        </w:rPr>
        <w:t>Root Cause Analysis</w:t>
      </w:r>
    </w:p>
    <w:p w14:paraId="3D9588D9" w14:textId="77777777" w:rsidR="00BD3AEE" w:rsidRDefault="00BD3AEE">
      <w:r>
        <w:t>The analysis suggests that supply chain issues are not caused by a single factor. Instead, they appear to result from a combination of supplier performance variability, delivery planning gaps, inventory threshold misalignment, and component-level risk concentration.</w:t>
      </w:r>
    </w:p>
    <w:p w14:paraId="1FD79F7F" w14:textId="77777777" w:rsidR="00BD3AEE" w:rsidRDefault="00BD3AEE" w:rsidP="00BD3AEE">
      <w:pPr>
        <w:pStyle w:val="ListParagraph"/>
        <w:numPr>
          <w:ilvl w:val="0"/>
          <w:numId w:val="2"/>
        </w:numPr>
      </w:pPr>
      <w:r w:rsidRPr="00BD3AEE">
        <w:rPr>
          <w:b/>
          <w:bCs/>
        </w:rPr>
        <w:t>Lead time variability:</w:t>
      </w:r>
      <w:r>
        <w:t xml:space="preserve"> BIND567 has a 64-day delivery timeline, significantly above the overall supplier average of approximately 13.5 days, indicating a severe lead time outlier.</w:t>
      </w:r>
    </w:p>
    <w:p w14:paraId="2E0E84C2" w14:textId="77777777" w:rsidR="00BD3AEE" w:rsidRDefault="00BD3AEE" w:rsidP="00BD3AEE">
      <w:pPr>
        <w:pStyle w:val="ListParagraph"/>
        <w:numPr>
          <w:ilvl w:val="0"/>
          <w:numId w:val="2"/>
        </w:numPr>
      </w:pPr>
      <w:r>
        <w:rPr>
          <w:b/>
          <w:bCs/>
        </w:rPr>
        <w:t>On-time delivery weakness:</w:t>
      </w:r>
      <w:r>
        <w:t xml:space="preserve"> COAT890 averages only 84.2% on-time delivery across five records, suggesting recurring fulfillment or scheduling reliability challenges.</w:t>
      </w:r>
    </w:p>
    <w:p w14:paraId="7E07D419" w14:textId="77777777" w:rsidR="00BD3AEE" w:rsidRDefault="00BD3AEE" w:rsidP="00BD3AEE">
      <w:pPr>
        <w:pStyle w:val="ListParagraph"/>
        <w:numPr>
          <w:ilvl w:val="0"/>
          <w:numId w:val="2"/>
        </w:numPr>
      </w:pPr>
      <w:r>
        <w:rPr>
          <w:b/>
          <w:bCs/>
        </w:rPr>
        <w:t>Supplier reliability differences:</w:t>
      </w:r>
      <w:r>
        <w:t xml:space="preserve"> Supplier reliability ranges from an average of 91.43% for </w:t>
      </w:r>
      <w:proofErr w:type="spellStart"/>
      <w:r>
        <w:t>PrimeLogistics</w:t>
      </w:r>
      <w:proofErr w:type="spellEnd"/>
      <w:r>
        <w:t xml:space="preserve"> to 93.2% for </w:t>
      </w:r>
      <w:proofErr w:type="spellStart"/>
      <w:r>
        <w:t>EcoSupply</w:t>
      </w:r>
      <w:proofErr w:type="spellEnd"/>
      <w:r>
        <w:t>, showing variation in supplier dependability.</w:t>
      </w:r>
    </w:p>
    <w:p w14:paraId="0D60CA2E" w14:textId="77777777" w:rsidR="00BD3AEE" w:rsidRDefault="00BD3AEE" w:rsidP="00BD3AEE">
      <w:pPr>
        <w:pStyle w:val="ListParagraph"/>
        <w:numPr>
          <w:ilvl w:val="0"/>
          <w:numId w:val="2"/>
        </w:numPr>
      </w:pPr>
      <w:r>
        <w:rPr>
          <w:b/>
          <w:bCs/>
        </w:rPr>
        <w:lastRenderedPageBreak/>
        <w:t>Quality performance variation:</w:t>
      </w:r>
      <w:r>
        <w:t xml:space="preserve"> </w:t>
      </w:r>
      <w:proofErr w:type="spellStart"/>
      <w:r>
        <w:t>PrimeLogistics</w:t>
      </w:r>
      <w:proofErr w:type="spellEnd"/>
      <w:r>
        <w:t xml:space="preserve"> has the highest average defect rate at 2.89% and the lowest average quality pass rate at 92.43%, indicating a potential supplier quality management issue.</w:t>
      </w:r>
    </w:p>
    <w:p w14:paraId="55390D5E" w14:textId="77777777" w:rsidR="00BD3AEE" w:rsidRDefault="00BD3AEE" w:rsidP="00BD3AEE">
      <w:pPr>
        <w:pStyle w:val="ListParagraph"/>
        <w:numPr>
          <w:ilvl w:val="0"/>
          <w:numId w:val="2"/>
        </w:numPr>
      </w:pPr>
      <w:r>
        <w:rPr>
          <w:b/>
          <w:bCs/>
        </w:rPr>
        <w:t>Forecast and inventory planning gaps:</w:t>
      </w:r>
      <w:r>
        <w:t xml:space="preserve"> Components with high usage rates, backorder volumes, reorder point misalignment, or low safety stock may experience avoidable shortages when demand shifts or lead time variance increases.</w:t>
      </w:r>
    </w:p>
    <w:p w14:paraId="2505DBC5" w14:textId="77777777" w:rsidR="00BD3AEE" w:rsidRDefault="00BD3AEE">
      <w:pPr>
        <w:pStyle w:val="Heading2"/>
        <w:rPr>
          <w:rFonts w:asciiTheme="minorHAnsi" w:hAnsiTheme="minorHAnsi" w:cstheme="minorBidi"/>
        </w:rPr>
      </w:pPr>
      <w:r>
        <w:rPr>
          <w:rFonts w:asciiTheme="minorHAnsi" w:hAnsiTheme="minorHAnsi" w:cstheme="minorBidi"/>
        </w:rPr>
        <w:t>Mitigation Strategies</w:t>
      </w:r>
    </w:p>
    <w:p w14:paraId="4E62D783" w14:textId="77777777" w:rsidR="00BD3AEE" w:rsidRDefault="00BD3AEE">
      <w:pPr>
        <w:pStyle w:val="Heading3"/>
        <w:rPr>
          <w:rFonts w:cstheme="minorBidi"/>
        </w:rPr>
      </w:pPr>
      <w:r>
        <w:rPr>
          <w:rFonts w:cstheme="minorBidi"/>
        </w:rPr>
        <w:t>General Mitigation Strategies</w:t>
      </w:r>
    </w:p>
    <w:p w14:paraId="73FA0A8F" w14:textId="77777777" w:rsidR="00BD3AEE" w:rsidRDefault="00BD3AEE" w:rsidP="00BD3AEE">
      <w:pPr>
        <w:pStyle w:val="ListParagraph"/>
        <w:numPr>
          <w:ilvl w:val="0"/>
          <w:numId w:val="3"/>
        </w:numPr>
      </w:pPr>
      <w:r w:rsidRPr="00BD3AEE">
        <w:rPr>
          <w:b/>
          <w:bCs/>
        </w:rPr>
        <w:t>Strengthen supplier performance reviews:</w:t>
      </w:r>
      <w:r>
        <w:t xml:space="preserve"> Review suppliers with lower on-time delivery, higher defect rates, or lower quality pass rates and define corrective actions tied to measurable service-level targets.</w:t>
      </w:r>
    </w:p>
    <w:p w14:paraId="5A740715" w14:textId="77777777" w:rsidR="00BD3AEE" w:rsidRDefault="00BD3AEE" w:rsidP="00BD3AEE">
      <w:pPr>
        <w:pStyle w:val="ListParagraph"/>
        <w:numPr>
          <w:ilvl w:val="0"/>
          <w:numId w:val="3"/>
        </w:numPr>
      </w:pPr>
      <w:r>
        <w:rPr>
          <w:b/>
          <w:bCs/>
        </w:rPr>
        <w:t>Improve inventory governance:</w:t>
      </w:r>
      <w:r>
        <w:t xml:space="preserve"> Reassess reorder points, safety stock levels, and usage assumptions for components with long lead times, high production usage, or recurring backorders.</w:t>
      </w:r>
    </w:p>
    <w:p w14:paraId="3040A9A4" w14:textId="77777777" w:rsidR="00BD3AEE" w:rsidRDefault="00BD3AEE" w:rsidP="00BD3AEE">
      <w:pPr>
        <w:pStyle w:val="ListParagraph"/>
        <w:numPr>
          <w:ilvl w:val="0"/>
          <w:numId w:val="3"/>
        </w:numPr>
      </w:pPr>
      <w:r>
        <w:rPr>
          <w:b/>
          <w:bCs/>
        </w:rPr>
        <w:t>Expand alternate sourcing:</w:t>
      </w:r>
      <w:r>
        <w:t xml:space="preserve"> Prioritize dual sourcing or approved backup suppliers for components with delivery delays, supplier reliability concerns, or high compliance impact.</w:t>
      </w:r>
    </w:p>
    <w:p w14:paraId="3BB8B977" w14:textId="77777777" w:rsidR="00BD3AEE" w:rsidRDefault="00BD3AEE" w:rsidP="00BD3AEE">
      <w:pPr>
        <w:pStyle w:val="ListParagraph"/>
        <w:numPr>
          <w:ilvl w:val="0"/>
          <w:numId w:val="3"/>
        </w:numPr>
      </w:pPr>
      <w:r>
        <w:rPr>
          <w:b/>
          <w:bCs/>
        </w:rPr>
        <w:t>Use expedite shipping selectively:</w:t>
      </w:r>
      <w:r>
        <w:t xml:space="preserve"> Reserve expedited shipping for components where shortage risk directly threatens production continuity or customer commitments.</w:t>
      </w:r>
    </w:p>
    <w:p w14:paraId="38AFEF9C" w14:textId="77777777" w:rsidR="00BD3AEE" w:rsidRDefault="00BD3AEE" w:rsidP="00BD3AEE">
      <w:pPr>
        <w:pStyle w:val="ListParagraph"/>
        <w:numPr>
          <w:ilvl w:val="0"/>
          <w:numId w:val="3"/>
        </w:numPr>
      </w:pPr>
      <w:r>
        <w:rPr>
          <w:b/>
          <w:bCs/>
        </w:rPr>
        <w:t>Enhance forecast accuracy monitoring:</w:t>
      </w:r>
      <w:r>
        <w:t xml:space="preserve"> Track forecast accuracy alongside actual usage and supplier lead time variance to identify planning gaps before they create shortages.</w:t>
      </w:r>
    </w:p>
    <w:p w14:paraId="5088044B" w14:textId="77777777" w:rsidR="00BD3AEE" w:rsidRDefault="00BD3AEE" w:rsidP="00BD3AEE">
      <w:pPr>
        <w:pStyle w:val="ListParagraph"/>
        <w:numPr>
          <w:ilvl w:val="0"/>
          <w:numId w:val="3"/>
        </w:numPr>
      </w:pPr>
      <w:r>
        <w:rPr>
          <w:b/>
          <w:bCs/>
        </w:rPr>
        <w:t>Implement a risk-based component dashboard:</w:t>
      </w:r>
      <w:r>
        <w:t xml:space="preserve"> Monitor risk level, delivery timeline, on-time delivery, defect rate, inventory level, reorder point, and safety stock in one recurring review process.</w:t>
      </w:r>
    </w:p>
    <w:p w14:paraId="05886F64" w14:textId="77777777" w:rsidR="00BD3AEE" w:rsidRDefault="00BD3AEE">
      <w:pPr>
        <w:pStyle w:val="Heading3"/>
        <w:rPr>
          <w:rFonts w:cstheme="minorBidi"/>
        </w:rPr>
      </w:pPr>
      <w:r>
        <w:rPr>
          <w:rFonts w:cstheme="minorBidi"/>
        </w:rPr>
        <w:t>Component-Specific Mitigation Strategies</w:t>
      </w:r>
    </w:p>
    <w:tbl>
      <w:tblPr>
        <w:tblStyle w:val="GridTable4-Accent1"/>
        <w:tblW w:w="0" w:type="auto"/>
        <w:tblInd w:w="0" w:type="dxa"/>
        <w:tblLook w:val="04A0" w:firstRow="1" w:lastRow="0" w:firstColumn="1" w:lastColumn="0" w:noHBand="0" w:noVBand="1"/>
      </w:tblPr>
      <w:tblGrid>
        <w:gridCol w:w="1512"/>
        <w:gridCol w:w="2999"/>
        <w:gridCol w:w="4833"/>
      </w:tblGrid>
      <w:tr w:rsidR="00BD3AEE" w14:paraId="5C3D1D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67C1AC" w14:textId="77777777" w:rsidR="00BD3AEE" w:rsidRDefault="00BD3AEE">
            <w:pPr>
              <w:spacing w:after="160"/>
            </w:pPr>
            <w:r>
              <w:rPr>
                <w:b/>
                <w:bCs/>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DA55A" w14:textId="77777777" w:rsidR="00BD3AEE" w:rsidRDefault="00BD3AEE">
            <w:pPr>
              <w:spacing w:after="160"/>
            </w:pPr>
            <w:r>
              <w:rPr>
                <w:b/>
                <w:bCs/>
              </w:rPr>
              <w:t>Primary Concern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D1435" w14:textId="77777777" w:rsidR="00BD3AEE" w:rsidRDefault="00BD3AEE">
            <w:pPr>
              <w:spacing w:after="160"/>
            </w:pPr>
            <w:r>
              <w:rPr>
                <w:b/>
                <w:bCs/>
              </w:rPr>
              <w:t>Recommended Mitigation</w:t>
            </w:r>
          </w:p>
        </w:tc>
      </w:tr>
      <w:tr w:rsidR="00BD3AEE" w14:paraId="7F1CC3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8F8556" w14:textId="77777777" w:rsidR="00BD3AEE" w:rsidRDefault="00BD3AEE">
            <w:pPr>
              <w:spacing w:after="160"/>
            </w:pPr>
            <w:r>
              <w:t>CARB123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B0E62" w14:textId="77777777" w:rsidR="00BD3AEE" w:rsidRDefault="00BD3AEE">
            <w:pPr>
              <w:spacing w:after="160"/>
            </w:pPr>
            <w:r>
              <w:t>Multiple records with mixed risk levels, delivery timelines ranging from short to extended, and several mitigation actions already identified.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38CC8" w14:textId="77777777" w:rsidR="00BD3AEE" w:rsidRDefault="00BD3AEE">
            <w:pPr>
              <w:spacing w:after="160"/>
            </w:pPr>
            <w:r>
              <w:t>Standardize the mitigation path by reviewing supplier contract terms, validating reorder points, and using expedite shipping only for high-risk shortages. Confirm whether inconsistent lead times are supplier-driven or planning-driven.</w:t>
            </w:r>
          </w:p>
        </w:tc>
      </w:tr>
      <w:tr w:rsidR="00BD3AEE" w14:paraId="500478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952AD3" w14:textId="77777777" w:rsidR="00BD3AEE" w:rsidRDefault="00BD3AEE">
            <w:pPr>
              <w:spacing w:after="160"/>
            </w:pPr>
            <w:r>
              <w:lastRenderedPageBreak/>
              <w:t>BIND567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89E52" w14:textId="77777777" w:rsidR="00BD3AEE" w:rsidRDefault="00BD3AEE">
            <w:pPr>
              <w:spacing w:after="160"/>
            </w:pPr>
            <w:r>
              <w:t>Single record with a 64-day delivery timeline, creating a major lead time outlier despite strong on-time delivery 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E7613" w14:textId="77777777" w:rsidR="00BD3AEE" w:rsidRDefault="00BD3AEE">
            <w:pPr>
              <w:spacing w:after="160"/>
            </w:pPr>
            <w:r>
              <w:t>Investigate whether the long timeline is due to supplier production capacity, raw material constraints, internal ordering cadence, or transportation routing. Increase advance planning windows and define an exception review for any component exceeding agreed lead time thresholds.</w:t>
            </w:r>
          </w:p>
        </w:tc>
      </w:tr>
      <w:tr w:rsidR="00BD3AEE" w14:paraId="553F64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9F83D2" w14:textId="77777777" w:rsidR="00BD3AEE" w:rsidRDefault="00BD3AEE">
            <w:pPr>
              <w:spacing w:after="160"/>
            </w:pPr>
            <w:r>
              <w:t>COAT890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0EED3" w14:textId="77777777" w:rsidR="00BD3AEE" w:rsidRDefault="00BD3AEE">
            <w:pPr>
              <w:spacing w:after="160"/>
            </w:pPr>
            <w:r>
              <w:t>Lowest on-time delivery performance among delayed components at 84.2%, with records tied to multiple suppliers and mitigation plans.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6DED6" w14:textId="77777777" w:rsidR="00BD3AEE" w:rsidRDefault="00BD3AEE">
            <w:pPr>
              <w:spacing w:after="160"/>
            </w:pPr>
            <w:r>
              <w:t>Prioritize alternate sourcing and supplier performance review. Segment COAT890 records by supplier to determine whether delays are concentrated with one supplier or spread across the supply base. Increase buffer stock if usage criticality is high.</w:t>
            </w:r>
          </w:p>
        </w:tc>
      </w:tr>
    </w:tbl>
    <w:p w14:paraId="32D74225" w14:textId="77777777" w:rsidR="00BD3AEE" w:rsidRDefault="00BD3AEE">
      <w:pPr>
        <w:pStyle w:val="Heading2"/>
        <w:rPr>
          <w:rFonts w:asciiTheme="minorHAnsi" w:hAnsiTheme="minorHAnsi" w:cstheme="minorBidi"/>
        </w:rPr>
      </w:pPr>
      <w:r>
        <w:rPr>
          <w:rFonts w:asciiTheme="minorHAnsi" w:hAnsiTheme="minorHAnsi" w:cstheme="minorBidi"/>
        </w:rPr>
        <w:t>Recommended Next Steps</w:t>
      </w:r>
    </w:p>
    <w:p w14:paraId="1D727BBF" w14:textId="77777777" w:rsidR="00BD3AEE" w:rsidRDefault="00BD3AEE" w:rsidP="00BD3AEE">
      <w:pPr>
        <w:pStyle w:val="ListParagraph"/>
        <w:numPr>
          <w:ilvl w:val="0"/>
          <w:numId w:val="4"/>
        </w:numPr>
      </w:pPr>
      <w:r>
        <w:t>Validate component criticality by mapping CARB123, BIND567, and COAT890 to production dependency and compliance impact.</w:t>
      </w:r>
    </w:p>
    <w:p w14:paraId="4C021618" w14:textId="77777777" w:rsidR="00BD3AEE" w:rsidRDefault="00BD3AEE" w:rsidP="00BD3AEE">
      <w:pPr>
        <w:pStyle w:val="ListParagraph"/>
        <w:numPr>
          <w:ilvl w:val="0"/>
          <w:numId w:val="4"/>
        </w:numPr>
      </w:pPr>
      <w:r>
        <w:t xml:space="preserve">Perform supplier-level deep dives for </w:t>
      </w:r>
      <w:proofErr w:type="spellStart"/>
      <w:r>
        <w:t>EcoSupply</w:t>
      </w:r>
      <w:proofErr w:type="spellEnd"/>
      <w:r>
        <w:t xml:space="preserve">, </w:t>
      </w:r>
      <w:proofErr w:type="spellStart"/>
      <w:r>
        <w:t>PrimeLogistics</w:t>
      </w:r>
      <w:proofErr w:type="spellEnd"/>
      <w:r>
        <w:t xml:space="preserve">, </w:t>
      </w:r>
      <w:proofErr w:type="spellStart"/>
      <w:r>
        <w:t>GlobalChem</w:t>
      </w:r>
      <w:proofErr w:type="spellEnd"/>
      <w:r>
        <w:t xml:space="preserve">, </w:t>
      </w:r>
      <w:proofErr w:type="spellStart"/>
      <w:r>
        <w:t>RawMatPlus</w:t>
      </w:r>
      <w:proofErr w:type="spellEnd"/>
      <w:r>
        <w:t>, and NextGen Pharma using on-time delivery, reliability, defect rate, and quality pass rate trends.</w:t>
      </w:r>
    </w:p>
    <w:p w14:paraId="07166A0B" w14:textId="77777777" w:rsidR="00BD3AEE" w:rsidRDefault="00BD3AEE" w:rsidP="00BD3AEE">
      <w:pPr>
        <w:pStyle w:val="ListParagraph"/>
        <w:numPr>
          <w:ilvl w:val="0"/>
          <w:numId w:val="4"/>
        </w:numPr>
      </w:pPr>
      <w:r>
        <w:t>Update reorder point and safety stock assumptions for components with high usage rates, high backorders, or long lead time variance.</w:t>
      </w:r>
    </w:p>
    <w:p w14:paraId="01EEDAE0" w14:textId="77777777" w:rsidR="00BD3AEE" w:rsidRDefault="00BD3AEE" w:rsidP="00BD3AEE">
      <w:pPr>
        <w:pStyle w:val="ListParagraph"/>
        <w:numPr>
          <w:ilvl w:val="0"/>
          <w:numId w:val="4"/>
        </w:numPr>
      </w:pPr>
      <w:r>
        <w:t xml:space="preserve">Define escalation triggers for delivery timeline outliers, quality pass rate declines, and recurring </w:t>
      </w:r>
      <w:proofErr w:type="gramStart"/>
      <w:r>
        <w:t>backorder</w:t>
      </w:r>
      <w:proofErr w:type="gramEnd"/>
      <w:r>
        <w:t xml:space="preserve"> volume.</w:t>
      </w:r>
    </w:p>
    <w:p w14:paraId="434F83AA" w14:textId="77777777" w:rsidR="00BD3AEE" w:rsidRDefault="00BD3AEE" w:rsidP="00BD3AEE">
      <w:pPr>
        <w:pStyle w:val="ListParagraph"/>
        <w:numPr>
          <w:ilvl w:val="0"/>
          <w:numId w:val="4"/>
        </w:numPr>
      </w:pPr>
      <w:r>
        <w:t>Create a monthly supply risk review cadence to track whether mitigation actions reduce delivery delays, quality issues, and compliance exposure.</w:t>
      </w:r>
    </w:p>
    <w:p w14:paraId="0B6A0D2D" w14:textId="77777777" w:rsidR="001F27BB" w:rsidRDefault="001F27BB"/>
    <w:sectPr w:rsidR="001F2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142D2"/>
    <w:multiLevelType w:val="multilevel"/>
    <w:tmpl w:val="8B1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97A44"/>
    <w:multiLevelType w:val="multilevel"/>
    <w:tmpl w:val="CAEE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1F4A8A"/>
    <w:multiLevelType w:val="multilevel"/>
    <w:tmpl w:val="C61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9305B"/>
    <w:multiLevelType w:val="multilevel"/>
    <w:tmpl w:val="8544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08904">
    <w:abstractNumId w:val="3"/>
  </w:num>
  <w:num w:numId="2" w16cid:durableId="1037775603">
    <w:abstractNumId w:val="2"/>
  </w:num>
  <w:num w:numId="3" w16cid:durableId="1636906200">
    <w:abstractNumId w:val="0"/>
  </w:num>
  <w:num w:numId="4" w16cid:durableId="630600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BB"/>
    <w:rsid w:val="001F27BB"/>
    <w:rsid w:val="00460D12"/>
    <w:rsid w:val="00BD3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9D98"/>
  <w15:chartTrackingRefBased/>
  <w15:docId w15:val="{2255373F-087F-4DEB-89EC-08A2E9EEC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7BB"/>
    <w:rPr>
      <w:rFonts w:eastAsiaTheme="majorEastAsia" w:cstheme="majorBidi"/>
      <w:color w:val="272727" w:themeColor="text1" w:themeTint="D8"/>
    </w:rPr>
  </w:style>
  <w:style w:type="paragraph" w:styleId="Title">
    <w:name w:val="Title"/>
    <w:basedOn w:val="Normal"/>
    <w:next w:val="Normal"/>
    <w:link w:val="TitleChar"/>
    <w:uiPriority w:val="10"/>
    <w:qFormat/>
    <w:rsid w:val="001F2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7BB"/>
    <w:pPr>
      <w:spacing w:before="160"/>
      <w:jc w:val="center"/>
    </w:pPr>
    <w:rPr>
      <w:i/>
      <w:iCs/>
      <w:color w:val="404040" w:themeColor="text1" w:themeTint="BF"/>
    </w:rPr>
  </w:style>
  <w:style w:type="character" w:customStyle="1" w:styleId="QuoteChar">
    <w:name w:val="Quote Char"/>
    <w:basedOn w:val="DefaultParagraphFont"/>
    <w:link w:val="Quote"/>
    <w:uiPriority w:val="29"/>
    <w:rsid w:val="001F27BB"/>
    <w:rPr>
      <w:i/>
      <w:iCs/>
      <w:color w:val="404040" w:themeColor="text1" w:themeTint="BF"/>
    </w:rPr>
  </w:style>
  <w:style w:type="paragraph" w:styleId="ListParagraph">
    <w:name w:val="List Paragraph"/>
    <w:basedOn w:val="Normal"/>
    <w:uiPriority w:val="34"/>
    <w:qFormat/>
    <w:rsid w:val="001F27BB"/>
    <w:pPr>
      <w:ind w:left="720"/>
      <w:contextualSpacing/>
    </w:pPr>
  </w:style>
  <w:style w:type="character" w:styleId="IntenseEmphasis">
    <w:name w:val="Intense Emphasis"/>
    <w:basedOn w:val="DefaultParagraphFont"/>
    <w:uiPriority w:val="21"/>
    <w:qFormat/>
    <w:rsid w:val="001F27BB"/>
    <w:rPr>
      <w:i/>
      <w:iCs/>
      <w:color w:val="0F4761" w:themeColor="accent1" w:themeShade="BF"/>
    </w:rPr>
  </w:style>
  <w:style w:type="paragraph" w:styleId="IntenseQuote">
    <w:name w:val="Intense Quote"/>
    <w:basedOn w:val="Normal"/>
    <w:next w:val="Normal"/>
    <w:link w:val="IntenseQuoteChar"/>
    <w:uiPriority w:val="30"/>
    <w:qFormat/>
    <w:rsid w:val="001F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7BB"/>
    <w:rPr>
      <w:i/>
      <w:iCs/>
      <w:color w:val="0F4761" w:themeColor="accent1" w:themeShade="BF"/>
    </w:rPr>
  </w:style>
  <w:style w:type="character" w:styleId="IntenseReference">
    <w:name w:val="Intense Reference"/>
    <w:basedOn w:val="DefaultParagraphFont"/>
    <w:uiPriority w:val="32"/>
    <w:qFormat/>
    <w:rsid w:val="001F27BB"/>
    <w:rPr>
      <w:b/>
      <w:bCs/>
      <w:smallCaps/>
      <w:color w:val="0F4761" w:themeColor="accent1" w:themeShade="BF"/>
      <w:spacing w:val="5"/>
    </w:rPr>
  </w:style>
  <w:style w:type="table" w:styleId="GridTable4-Accent1">
    <w:name w:val="Grid Table 4 Accent 1"/>
    <w:basedOn w:val="TableNormal"/>
    <w:uiPriority w:val="49"/>
    <w:rsid w:val="00BD3AEE"/>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887</Words>
  <Characters>6728</Characters>
  <Application>Microsoft Office Word</Application>
  <DocSecurity>0</DocSecurity>
  <Lines>149</Lines>
  <Paragraphs>133</Paragraphs>
  <ScaleCrop>false</ScaleCrop>
  <Company>JNJ</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Abouganba, Aisha [JJCUS]</dc:creator>
  <cp:keywords/>
  <dc:description/>
  <cp:lastModifiedBy>Abouganba, Aisha [JJCUS]</cp:lastModifiedBy>
  <cp:revision>3</cp:revision>
  <dcterms:created xsi:type="dcterms:W3CDTF">2026-07-07T20:28:00Z</dcterms:created>
  <dcterms:modified xsi:type="dcterms:W3CDTF">2026-07-07T20:32:00Z</dcterms:modified>
</cp:coreProperties>
</file>