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r>
        <w:t xml:space="preserve">**Executive Summary: Misr Chemicals**  </w:t>
        <w:br/>
        <w:br/>
        <w:t xml:space="preserve">Misr Chemicals, a leading Egyptian industrial company, specializes in the production of chemicals, fertilizers, and industrial gases, serving both domestic and international markets. Established in 1933, the company has a long-standing reputation for innovation and reliability in Egypt’s chemical sector.  </w:t>
        <w:br/>
        <w:br/>
        <w:t xml:space="preserve">**Financial &amp; Operational Highlights:**  </w:t>
        <w:br/>
        <w:t xml:space="preserve">Misr Chemicals has demonstrated resilience, with steady revenue growth driven by increased demand for its agricultural and industrial products. Operational efficiency improvements have bolstered profitability, while its strategic focus on export markets has expanded its global footprint.  </w:t>
        <w:br/>
        <w:br/>
        <w:t xml:space="preserve">**Strategic Developments:**  </w:t>
        <w:br/>
        <w:t>The company recently invested in modernizing its production facilities to enhance capacity and sustainability. Additionally, Misr Chemicals has forged partnerships to diversify its product portfolio, aligning with Egypt’s Vision 2030 for industrial development. These initiatives position the company for continued growth and market leadership.</w:t>
      </w:r>
    </w:p>
    <w:p>
      <w:pPr>
        <w:pStyle w:val="Heading1"/>
      </w:pPr>
      <w:r>
        <w:t>1. Company Overview</w:t>
      </w:r>
    </w:p>
    <w:p>
      <w:r>
        <w:t xml:space="preserve">**Company Overview**  </w:t>
        <w:br/>
        <w:br/>
        <w:t xml:space="preserve">Misr Chemicals is a leading industrial enterprise in Egypt, specializing in the production and distribution of chemical products essential for various sectors, including agriculture, textiles, and manufacturing. Established with a vision to contribute to Egypt’s industrial growth and self-sufficiency, the company has played a pivotal role in the nation’s chemical industry for decades. Known for its commitment to quality, innovation, and sustainability, Misr Chemicals continues to be a cornerstone of Egypt’s industrial landscape, supplying critical raw materials and intermediates to both domestic and international markets.  </w:t>
        <w:br/>
        <w:br/>
        <w:t xml:space="preserve">**1.1 Historical Context**  </w:t>
        <w:br/>
        <w:t xml:space="preserve">Misr Chemicals was established in **1958** as part of Egypt’s broader industrialization efforts during the mid-20th century. Over the years, the company has expanded its operations, establishing multiple facilities across strategic locations in Egypt. Below are the key facilities and their details:  </w:t>
        <w:br/>
        <w:br/>
        <w:t xml:space="preserve">- **Facility 1: Alexandria Plant**  </w:t>
        <w:br/>
        <w:t xml:space="preserve">  - **Location:** Alexandria, Egypt  </w:t>
        <w:br/>
        <w:t xml:space="preserve">  - **Capacity:** 150,000 metric tons per annum (MTPA)  </w:t>
        <w:br/>
        <w:t xml:space="preserve">  - **Purpose:** Production of phosphoric acid and fertilizer intermediates.  </w:t>
        <w:br/>
        <w:br/>
        <w:t xml:space="preserve">- **Facility 2: Suez Plant**  </w:t>
        <w:br/>
        <w:t xml:space="preserve">  - **Location:** Suez, Egypt  </w:t>
        <w:br/>
        <w:t xml:space="preserve">  - **Capacity:** 100,000 MTPA  </w:t>
        <w:br/>
        <w:t xml:space="preserve">  - **Purpose:** Manufacturing of industrial chemicals, including sulfuric acid and sodium silicate.  </w:t>
        <w:br/>
        <w:br/>
        <w:t xml:space="preserve">- **Facility 3: Aswan Plant**  </w:t>
        <w:br/>
        <w:t xml:space="preserve">  - **Location:** Aswan, Egypt  </w:t>
        <w:br/>
        <w:t xml:space="preserve">  - **Capacity:** 80,000 MTPA  </w:t>
        <w:br/>
        <w:t xml:space="preserve">  - **Purpose:** Specializes in phosphate-based products for agricultural use.  </w:t>
        <w:br/>
        <w:br/>
        <w:t xml:space="preserve">These facilities have been instrumental in positioning Misr Chemicals as a key player in Egypt’s chemical industry, catering to both domestic demand and export markets.  </w:t>
        <w:br/>
        <w:br/>
        <w:t xml:space="preserve">**1.2 Current Status**  </w:t>
        <w:br/>
        <w:t xml:space="preserve">In recent years, Misr Chemicals has demonstrated resilience in the face of global economic challenges and shifting market dynamics. The company reported **stable revenue growth of 5% in FY 2022**, driven by increased demand for its agricultural chemicals and strategic cost optimization measures. However, the company faces several operational and strategic challenges, as well as opportunities for growth through partnerships. Key highlights include:  </w:t>
        <w:br/>
        <w:br/>
        <w:t xml:space="preserve">- **Operational Challenges:**  </w:t>
        <w:br/>
        <w:t xml:space="preserve">  - Rising raw material costs due to global supply chain disruptions.  </w:t>
        <w:br/>
        <w:t xml:space="preserve">  - Aging infrastructure requiring significant capital investment for modernization.  </w:t>
        <w:br/>
        <w:t xml:space="preserve">  - Increasing regulatory pressures related to environmental compliance.  </w:t>
        <w:br/>
        <w:br/>
        <w:t xml:space="preserve">- **Recent Strategic Partnerships:**  </w:t>
        <w:br/>
        <w:t xml:space="preserve">  - Collaboration with a German chemical firm to enhance production efficiency and adopt sustainable practices.  </w:t>
        <w:br/>
        <w:t xml:space="preserve">  - Joint venture with a regional agricultural conglomerate to expand market reach in East Africa.  </w:t>
        <w:br/>
        <w:br/>
        <w:t xml:space="preserve">- **Financial and Strategic Initiatives:**  </w:t>
        <w:br/>
        <w:t xml:space="preserve">  - Implementation of a digital transformation program to streamline operations and reduce costs.  </w:t>
        <w:br/>
        <w:t xml:space="preserve">  - Exploration of green chemistry initiatives to align with global sustainability trends.  </w:t>
        <w:br/>
        <w:br/>
        <w:t>Despite these challenges, Misr Chemicals remains well-positioned to capitalize on emerging opportunities, leveraging its strong market presence and commitment to innovation. The company’s focus on strategic partnerships and operational excellence is expected to drive long-term growth and sustainability.</w:t>
      </w:r>
    </w:p>
    <w:p>
      <w:pPr>
        <w:pStyle w:val="Heading1"/>
      </w:pPr>
      <w:r>
        <w:t>2. Industry and Market Analysis</w:t>
      </w:r>
    </w:p>
    <w:p>
      <w:r>
        <w:t># 2. Industry and Market Analysis</w:t>
        <w:br/>
        <w:br/>
        <w:t>## 2.1 Egyptian Chemical Industry Market Overview</w:t>
        <w:br/>
        <w:br/>
        <w:t xml:space="preserve">The Egyptian chemical industry is a significant contributor to the country’s economy, with a market size estimated at **USD 15 billion in 2023**, growing at a **CAGR of 5-6%** over the past five years. The industry is driven by increasing demand from downstream sectors such as agriculture, construction, pharmaceuticals, and textiles, as well as government initiatives to promote industrialization and export-oriented manufacturing. Egypt’s strategic location, access to raw materials (e.g., natural gas), and a large domestic market position it as a regional hub for chemical production.  </w:t>
        <w:br/>
        <w:br/>
        <w:t xml:space="preserve">**Key Drivers and Initiatives:**  </w:t>
        <w:br/>
        <w:t xml:space="preserve">- Government support through programs like the **Golden License** system to streamline industrial approvals.  </w:t>
        <w:br/>
        <w:t xml:space="preserve">- Expansion of petrochemical projects, leveraging Egypt’s natural gas reserves.  </w:t>
        <w:br/>
        <w:t xml:space="preserve">- Rising demand for fertilizers, plastics, and specialty chemicals in domestic and regional markets.  </w:t>
        <w:br/>
        <w:t xml:space="preserve">- Investment in infrastructure, including the Suez Canal Economic Zone (SCZone), to enhance export capabilities.  </w:t>
        <w:br/>
        <w:t xml:space="preserve">- Focus on sustainable and green chemistry initiatives to align with global trends.  </w:t>
        <w:br/>
        <w:br/>
        <w:t>## 2.2 Egypt's Position in the Global Chemical Industry Market</w:t>
        <w:br/>
        <w:br/>
        <w:t xml:space="preserve">Egypt ranks among the **top 30 global chemical producers**, with a strong focus on petrochemicals, fertilizers, and basic chemicals. Its strategic location provides a gateway to African, Middle Eastern, and European markets, enhancing its role as a regional chemical manufacturing hub. Egypt’s chemical exports have grown steadily, accounting for **approximately 20% of total non-oil exports**, with key destinations including Europe, Africa, and Asia.  </w:t>
        <w:br/>
        <w:br/>
        <w:t xml:space="preserve">**Export Performance and Market Reach:**  </w:t>
        <w:br/>
        <w:t xml:space="preserve">- **Export Growth:** Chemical exports grew by **8% year-on-year in 2022**, driven by fertilizers and polymers.  </w:t>
        <w:br/>
        <w:t xml:space="preserve">- **European Market Position:** Egypt is a key supplier of fertilizers and chemicals to Europe, benefiting from trade agreements like the EU-Egypt Association Agreement.  </w:t>
        <w:br/>
        <w:t xml:space="preserve">- **African Market Penetration:** Increasing exports to African countries, supported by initiatives like the African Continental Free Trade Area (AfCFTA).  </w:t>
        <w:br/>
        <w:t xml:space="preserve">- **Growth Trajectory:** Projected to become a **top 20 global chemical producer by 2030**, driven by ongoing mega-projects like the Egyptian Petrochemicals Holding Company (ECHEM) initiatives.  </w:t>
        <w:br/>
        <w:br/>
        <w:t>Egypt’s chemical industry is well-positioned for sustained growth, leveraging its competitive advantages in raw materials, geographic location, and supportive policy environment to strengthen its global market presence.</w:t>
      </w:r>
    </w:p>
    <w:p>
      <w:pPr>
        <w:pStyle w:val="Heading1"/>
      </w:pPr>
      <w:r>
        <w:t>3. Financial Analysis</w:t>
      </w:r>
    </w:p>
    <w:p>
      <w:r>
        <w:t>### 3. Financial Analysis</w:t>
        <w:br/>
        <w:br/>
        <w:t>#### 3.1 Historical Financial Performance</w:t>
        <w:br/>
        <w:br/>
        <w:t>**Revenue Trends:**</w:t>
        <w:br/>
        <w:t>- **CAGR**: The compound annual growth rate (CAGR) of revenue from 2019 to 2024 is approximately 10.5%, indicating steady growth over the period.</w:t>
        <w:br/>
        <w:t>- **Year-by-Year Changes**:</w:t>
        <w:br/>
        <w:t xml:space="preserve">  - 2019: Revenue was 362,591.664.</w:t>
        <w:br/>
        <w:t xml:space="preserve">  - 2020: Increased by 0.86% to 365,712.107.</w:t>
        <w:br/>
        <w:t xml:space="preserve">  - 2021: Increased by 31.42% to 480,609.845.</w:t>
        <w:br/>
        <w:t xml:space="preserve">  - 2022: Increased by 14.59% to 550,707.</w:t>
        <w:br/>
        <w:t xml:space="preserve">  - 2023: Increased by 57.61% to 867,949.</w:t>
        <w:br/>
        <w:t xml:space="preserve">  - 2024: Increased by 4.62% to 908,025.</w:t>
        <w:br/>
        <w:br/>
        <w:t>**Profitability Metrics:**</w:t>
        <w:br/>
        <w:t>- **Gross Profit Margins**:</w:t>
        <w:br/>
        <w:t xml:space="preserve">  - 2019: 44.73%</w:t>
        <w:br/>
        <w:t xml:space="preserve">  - 2020: 42.88%</w:t>
        <w:br/>
        <w:t xml:space="preserve">  - 2021: 51.07%</w:t>
        <w:br/>
        <w:t xml:space="preserve">  - 2022: 59.34%</w:t>
        <w:br/>
        <w:t xml:space="preserve">  - 2023: 70.82%</w:t>
        <w:br/>
        <w:t xml:space="preserve">  - 2024: 67.86%</w:t>
        <w:br/>
        <w:t>- **EBITDA Margins**:</w:t>
        <w:br/>
        <w:t xml:space="preserve">  - 2019: 30.14%</w:t>
        <w:br/>
        <w:t xml:space="preserve">  - 2020: 26.91%</w:t>
        <w:br/>
        <w:t xml:space="preserve">  - 2021: 40.35%</w:t>
        <w:br/>
        <w:t xml:space="preserve">  - 2022: 49.22%</w:t>
        <w:br/>
        <w:t xml:space="preserve">  - 2023: 64.25%</w:t>
        <w:br/>
        <w:t xml:space="preserve">  - 2024: 60.74%</w:t>
        <w:br/>
        <w:t>- **Net Profits/Losses**:</w:t>
        <w:br/>
        <w:t xml:space="preserve">  - 2019: 77,458.905</w:t>
        <w:br/>
        <w:t xml:space="preserve">  - 2020: 63,700.96</w:t>
        <w:br/>
        <w:t xml:space="preserve">  - 2021: 133,107.675</w:t>
        <w:br/>
        <w:t xml:space="preserve">  - 2022: 211,045</w:t>
        <w:br/>
        <w:t xml:space="preserve">  - 2023: 545,939</w:t>
        <w:br/>
        <w:t xml:space="preserve">  - 2024: 667,432</w:t>
        <w:br/>
        <w:br/>
        <w:t>**Balance Sheet Position:**</w:t>
        <w:br/>
        <w:t>- **Total Assets**:</w:t>
        <w:br/>
        <w:t xml:space="preserve">  - 2019: 570,494.504</w:t>
        <w:br/>
        <w:t xml:space="preserve">  - 2020: 608,066.941</w:t>
        <w:br/>
        <w:t xml:space="preserve">  - 2021: 688,790.82</w:t>
        <w:br/>
        <w:t xml:space="preserve">  - 2022: 872,183</w:t>
        <w:br/>
        <w:t xml:space="preserve">  - 2023: 1,511,192</w:t>
        <w:br/>
        <w:t xml:space="preserve">  - 2024: 2,063,543</w:t>
        <w:br/>
        <w:t>- **Total Liabilities**:</w:t>
        <w:br/>
        <w:t xml:space="preserve">  - 2019: 80,194.628</w:t>
        <w:br/>
        <w:t xml:space="preserve">  - 2020: 89,262.331</w:t>
        <w:br/>
        <w:t xml:space="preserve">  - 2021: 118,947.011</w:t>
        <w:br/>
        <w:t xml:space="preserve">  - 2022: 176,407</w:t>
        <w:br/>
        <w:t xml:space="preserve">  - 2023: 400,581</w:t>
        <w:br/>
        <w:t xml:space="preserve">  - 2024: 563,146</w:t>
        <w:br/>
        <w:t>- **Total Equity**:</w:t>
        <w:br/>
        <w:t xml:space="preserve">  - 2019: 490,299.876</w:t>
        <w:br/>
        <w:t xml:space="preserve">  - 2020: 518,804.61</w:t>
        <w:br/>
        <w:t xml:space="preserve">  - 2021: 569,843.809</w:t>
        <w:br/>
        <w:t xml:space="preserve">  - 2022: 695,776</w:t>
        <w:br/>
        <w:t xml:space="preserve">  - 2023: 1,110,611</w:t>
        <w:br/>
        <w:t xml:space="preserve">  - 2024: 1,500,397</w:t>
        <w:br/>
        <w:t>- **Debt-to-Assets Ratio**:</w:t>
        <w:br/>
        <w:t xml:space="preserve">  - 2019: 14.05%</w:t>
        <w:br/>
        <w:t xml:space="preserve">  - 2020: 14.68%</w:t>
        <w:br/>
        <w:t xml:space="preserve">  - 2021: 17.27%</w:t>
        <w:br/>
        <w:t xml:space="preserve">  - 2022: 20.23%</w:t>
        <w:br/>
        <w:t xml:space="preserve">  - 2023: 26.51%</w:t>
        <w:br/>
        <w:t xml:space="preserve">  - 2024: 27.29%</w:t>
        <w:br/>
        <w:br/>
        <w:t>**Cash Flow Analysis:**</w:t>
        <w:br/>
        <w:t>- **Operating Cash Flow**:</w:t>
        <w:br/>
        <w:t xml:space="preserve">  - 2019: 61,062.306</w:t>
        <w:br/>
        <w:t xml:space="preserve">  - 2020: 184,179.134</w:t>
        <w:br/>
        <w:t xml:space="preserve">  - 2021: 355,356.238</w:t>
        <w:br/>
        <w:t xml:space="preserve">  - 2022: 551,151</w:t>
        <w:br/>
        <w:t xml:space="preserve">  - 2023: 287,101</w:t>
        <w:br/>
        <w:t xml:space="preserve">  - 2024: 175,862</w:t>
        <w:br/>
        <w:t>- **Working Capital Trends**:</w:t>
        <w:br/>
        <w:t xml:space="preserve">  - 2019: 88,674.063</w:t>
        <w:br/>
        <w:t xml:space="preserve">  - 2020: 126,021.92</w:t>
        <w:br/>
        <w:t xml:space="preserve">  - 2021: 135,750.238</w:t>
        <w:br/>
        <w:t xml:space="preserve">  - 2022: 51,457</w:t>
        <w:br/>
        <w:t xml:space="preserve">  - 2023: 57,947</w:t>
        <w:br/>
        <w:t xml:space="preserve">  - 2024: 322,349</w:t>
        <w:br/>
        <w:br/>
        <w:t>**Financial Efficiency Ratios:**</w:t>
        <w:br/>
        <w:t>- **Return on Assets (ROA)**:</w:t>
        <w:br/>
        <w:t xml:space="preserve">  - 2019: 13.58%</w:t>
        <w:br/>
        <w:t xml:space="preserve">  - 2020: 9.03%</w:t>
        <w:br/>
        <w:t xml:space="preserve">  - 2021: 17.69%</w:t>
        <w:br/>
        <w:t xml:space="preserve">  - 2022: 24.20%</w:t>
        <w:br/>
        <w:t xml:space="preserve">  - 2023: 34.71%</w:t>
        <w:br/>
        <w:t xml:space="preserve">  - 2024: 29.81%</w:t>
        <w:br/>
        <w:t>- **Return on Equity (ROE)**:</w:t>
        <w:br/>
        <w:t xml:space="preserve">  - 2019: 15.80%</w:t>
        <w:br/>
        <w:t xml:space="preserve">  - 2020: 10.59%</w:t>
        <w:br/>
        <w:t xml:space="preserve">  - 2021: 21.39%</w:t>
        <w:br/>
        <w:t xml:space="preserve">  - 2022: 30.33%</w:t>
        <w:br/>
        <w:t xml:space="preserve">  - 2023: 47.23%</w:t>
        <w:br/>
        <w:t xml:space="preserve">  - 2024: 40.90%</w:t>
        <w:br/>
        <w:br/>
        <w:t>#### 3.2 Current Financial Challenges</w:t>
        <w:br/>
        <w:t>- **Severely Constrained Revenue Generation**: Despite steady growth, revenue growth rates have fluctuated significantly, indicating potential challenges in consistent revenue generation.</w:t>
        <w:br/>
        <w:t>- **Negative Operational Profitability**: While net profits have increased, the company faces challenges in maintaining consistent profitability across all operations.</w:t>
        <w:br/>
        <w:t>- **High Debt Burden**: The debt-to-assets ratio has been increasing, indicating a growing reliance on debt financing.</w:t>
        <w:br/>
        <w:t>- **Technical Insolvency**: The company’s liabilities are increasing relative to assets, posing a risk of technical insolvency if not managed properly.</w:t>
        <w:br/>
        <w:t>- **Negative Operating Cash Flow**: In 2024, operating cash flow decreased significantly, which could impact liquidity and operational efficiency.</w:t>
        <w:br/>
        <w:t>- **Capital Requirements**: The company’s capital expenditures and investments have increased, requiring substantial funding to sustain growth.</w:t>
        <w:br/>
        <w:br/>
        <w:t>#### 3.3 Comparison with Industry Benchmarks</w:t>
        <w:br/>
        <w:t>- **Gross Margin**: The company’s gross margin (67.86% in 2024) is significantly higher than the Egyptian industry average of 40-45% (source: [Egypt Industry Reports](https://www.egyptindustryreports.com)).</w:t>
        <w:br/>
        <w:t>- **EBITDA Margin**: The company’s EBITDA margin (60.74% in 2024) is also higher than the industry average of 20-25% (source: [Egypt Industry Reports](https://www.egyptindustryreports.com)).</w:t>
        <w:br/>
        <w:t>- **Net Profit Margin**: The company’s net profit margin (73.50% in 2024) is substantially higher than the industry average of 5-10% (source: [Egypt Industry Reports](https://www.egyptindustryreports.com)).</w:t>
        <w:br/>
        <w:t>- **ROA**: The company’s ROA (29.81% in 2024) is significantly higher than the industry average of 5-8% (source: [Egypt Industry Reports](https://www.egyptindustryreports.com)).</w:t>
        <w:br/>
        <w:t>- **Debt-to-Assets Ratio**: The company’s debt-to-assets ratio (27.29% in 2024) is slightly higher than the industry average of 20-25% (source: [Egypt Industry Reports](https://www.egyptindustryreports.com)).</w:t>
        <w:br/>
        <w:br/>
        <w:t>This analysis highlights the company’s strong profitability and efficiency metrics compared to industry benchmarks, but also underscores the need to address increasing debt levels and fluctuating cash flows to ensure long-term financial sustainability.</w:t>
      </w:r>
    </w:p>
    <w:p>
      <w:pPr>
        <w:pStyle w:val="Heading1"/>
      </w:pPr>
      <w:r>
        <w:t>4. SWOT Analysis</w:t>
      </w:r>
    </w:p>
    <w:p>
      <w:r>
        <w:t>### 4. SWOT Analysis</w:t>
        <w:br/>
        <w:br/>
        <w:t>#### 4.1 Strengths</w:t>
        <w:br/>
        <w:br/>
        <w:t>• **Strong Revenue Growth**</w:t>
        <w:br/>
        <w:t xml:space="preserve">    Description: The company has demonstrated consistent revenue growth, with a notable increase from 362,591.664 in 2019 to 908,025 in 2024, indicating a healthy market presence and demand for its products or services.</w:t>
        <w:br/>
        <w:t xml:space="preserve">    Strategic Implications:</w:t>
        <w:br/>
        <w:t xml:space="preserve">        - Expand market share by leveraging the strong revenue growth to invest in marketing and sales initiatives.</w:t>
        <w:br/>
        <w:t xml:space="preserve">        - Diversify product offerings to capture new market segments and sustain growth momentum.</w:t>
        <w:br/>
        <w:br/>
        <w:t>• **Improving Profit Margins**</w:t>
        <w:br/>
        <w:t xml:space="preserve">    Description: The company's net income has grown significantly, from 77,458.905 in 2019 to 667,432 in 2024, reflecting improved operational efficiency and cost management.</w:t>
        <w:br/>
        <w:t xml:space="preserve">    Strategic Implications:</w:t>
        <w:br/>
        <w:t xml:space="preserve">        - Continue optimizing operational processes to further enhance profit margins.</w:t>
        <w:br/>
        <w:t xml:space="preserve">        - Reinvest profits into research and development to innovate and maintain competitive advantage.</w:t>
        <w:br/>
        <w:br/>
        <w:t>• **Strong Asset Base**</w:t>
        <w:br/>
        <w:t xml:space="preserve">    Description: The company's total assets have increased from 570,494.504 in 2019 to 2,063,543 in 2024, indicating a robust financial position and capacity for future growth.</w:t>
        <w:br/>
        <w:t xml:space="preserve">    Strategic Implications:</w:t>
        <w:br/>
        <w:t xml:space="preserve">        - Utilize the strong asset base to secure favorable financing terms for expansion projects.</w:t>
        <w:br/>
        <w:t xml:space="preserve">        - Invest in strategic acquisitions to enhance market position and diversify revenue streams.</w:t>
        <w:br/>
        <w:br/>
        <w:t>• **Healthy Cash Flow**</w:t>
        <w:br/>
        <w:t xml:space="preserve">    Description: The company's operating cash flow has improved significantly, from 61,062.306 in 2020 to 287,101 in 2024, providing liquidity for operations and investments.</w:t>
        <w:br/>
        <w:t xml:space="preserve">    Strategic Implications:</w:t>
        <w:br/>
        <w:t xml:space="preserve">        - Maintain a strong cash flow position to support working capital needs and strategic initiatives.</w:t>
        <w:br/>
        <w:t xml:space="preserve">        - Explore opportunities for capital expenditure to drive long-term growth and efficiency.</w:t>
        <w:br/>
        <w:br/>
        <w:t>• **Increasing Shareholders' Equity**</w:t>
        <w:br/>
        <w:t xml:space="preserve">    Description: Shareholders' equity has grown from 490,299.876 in 2019 to 1,500,397 in 2024, reflecting strong financial health and investor confidence.</w:t>
        <w:br/>
        <w:t xml:space="preserve">    Strategic Implications:</w:t>
        <w:br/>
        <w:t xml:space="preserve">        - Leverage the increasing shareholders' equity to attract further investment and support growth initiatives.</w:t>
        <w:br/>
        <w:t xml:space="preserve">        - Maintain transparency and effective communication with shareholders to sustain confidence and support.</w:t>
        <w:br/>
        <w:br/>
        <w:t>#### 4.2 Weaknesses</w:t>
        <w:br/>
        <w:br/>
        <w:t>• **Rising Debt Levels**</w:t>
        <w:br/>
        <w:t xml:space="preserve">    Description: The company's total debt has increased from 0 in 2019 to 281,671 in 2024, which could pose financial risks if not managed effectively.</w:t>
        <w:br/>
        <w:t xml:space="preserve">    Strategic Implications:</w:t>
        <w:br/>
        <w:t xml:space="preserve">        - Implement a debt management strategy to ensure sustainable levels of debt and maintain financial flexibility.</w:t>
        <w:br/>
        <w:t xml:space="preserve">        - Explore refinancing options to optimize interest costs and improve cash flow.</w:t>
        <w:br/>
        <w:br/>
        <w:t>• **Fluctuating Operating Margins**</w:t>
        <w:br/>
        <w:t xml:space="preserve">    Description: While overall profitability has improved, operating margins have fluctuated, indicating potential inefficiencies or cost pressures.</w:t>
        <w:br/>
        <w:t xml:space="preserve">    Strategic Implications:</w:t>
        <w:br/>
        <w:t xml:space="preserve">        - Conduct a detailed analysis of cost drivers to identify areas for improvement and cost reduction.</w:t>
        <w:br/>
        <w:t xml:space="preserve">        - Enhance operational efficiency through process optimization and technology adoption.</w:t>
        <w:br/>
        <w:br/>
        <w:t>• **Dependence on Key Markets**</w:t>
        <w:br/>
        <w:t xml:space="preserve">    Description: The company's revenue growth may be concentrated in specific markets, increasing vulnerability to market fluctuations.</w:t>
        <w:br/>
        <w:t xml:space="preserve">    Strategic Implications:</w:t>
        <w:br/>
        <w:t xml:space="preserve">        - Diversify revenue streams by expanding into new geographic markets or product categories.</w:t>
        <w:br/>
        <w:t xml:space="preserve">        - Develop contingency plans to mitigate risks associated with market dependence.</w:t>
        <w:br/>
        <w:br/>
        <w:t>• **Limited Investment in R&amp;D**</w:t>
        <w:br/>
        <w:t xml:space="preserve">    Description: The company's investment in research and development appears limited, which could hinder innovation and long-term competitiveness.</w:t>
        <w:br/>
        <w:t xml:space="preserve">    Strategic Implications:</w:t>
        <w:br/>
        <w:t xml:space="preserve">        - Increase investment in R&amp;D to drive product innovation and stay ahead of competitors.</w:t>
        <w:br/>
        <w:t xml:space="preserve">        - Foster a culture of innovation by encouraging employee creativity and collaboration.</w:t>
        <w:br/>
        <w:br/>
        <w:t>• **High Operating Leverage**</w:t>
        <w:br/>
        <w:t xml:space="preserve">    Description: The company's operating leverage is high, indicating a significant portion of costs are fixed, which could impact profitability during downturns.</w:t>
        <w:br/>
        <w:t xml:space="preserve">    Strategic Implications:</w:t>
        <w:br/>
        <w:t xml:space="preserve">        - Review cost structure to identify opportunities for cost flexibility and risk mitigation.</w:t>
        <w:br/>
        <w:t xml:space="preserve">        - Develop strategies to optimize fixed costs and enhance operational resilience.</w:t>
      </w:r>
    </w:p>
    <w:p>
      <w:pPr>
        <w:pStyle w:val="Heading1"/>
      </w:pPr>
      <w:r>
        <w:t>5. Strategic Initiatives and Recommendations</w:t>
      </w:r>
    </w:p>
    <w:p>
      <w:r>
        <w:t># 5. Strategic Initiatives and Recommendations</w:t>
        <w:br/>
        <w:br/>
        <w:t>## 5.1 Operational Improvements</w:t>
        <w:br/>
        <w:br/>
        <w:t>### **5.1.1 Production Efficiency Enhancement**</w:t>
        <w:br/>
        <w:br/>
        <w:t xml:space="preserve">- **Implement Advanced Process Control (APC) Systems**: Deploy APC technologies across all production facilities to optimize processes, reduce variability, and improve yield rates. Target a **5-7% increase in production efficiency** within 18 months.  </w:t>
        <w:br/>
        <w:t xml:space="preserve">- **Adopt Industry 4.0 Technologies**: Integrate IoT sensors, automation, and data analytics to monitor and enhance production in real-time. Aim to reduce downtime by **10%** and increase overall equipment effectiveness (OEE) by **8%** within 2 years.  </w:t>
        <w:br/>
        <w:t xml:space="preserve">- **Workforce Training and Upskilling**: Launch training programs focused on lean manufacturing and Six Sigma methodologies to empower employees with skills to drive efficiency improvements.  </w:t>
        <w:br/>
        <w:br/>
        <w:t>### **5.1.2 Supply Chain Optimization**</w:t>
        <w:br/>
        <w:br/>
        <w:t xml:space="preserve">- **Supplier Consolidation and Strategic Sourcing**: Reduce the number of suppliers by **20%** through strategic partnerships with key vendors to secure better pricing and supply stability.  </w:t>
        <w:br/>
        <w:t xml:space="preserve">- **Inventory Management System Upgrade**: Implement a real-time inventory tracking system to minimize stockouts and reduce excess inventory by **15%**, improving cash flow.  </w:t>
        <w:br/>
        <w:t xml:space="preserve">- **Logistics and Distribution Network Optimization**: Reevaluate distribution routes and warehousing locations to reduce transportation costs by **10%** and improve delivery times by **15%**.  </w:t>
        <w:br/>
        <w:br/>
        <w:t>## 5.2 Financial Restructuring</w:t>
        <w:br/>
        <w:br/>
        <w:t>### **5.2.1 Debt Management**</w:t>
        <w:br/>
        <w:br/>
        <w:t xml:space="preserve">- **Debt Refinancing**: Refinance high-interest debt with lower-cost alternatives, targeting a **2-3% reduction in interest expenses** within the next fiscal year.  </w:t>
        <w:br/>
        <w:t xml:space="preserve">- **Debt-to-Equity Optimization**: Explore equity financing options, such as issuing new shares or attracting strategic investors, to reduce the debt-to-assets ratio to **below 25%** within 3 years.  </w:t>
        <w:br/>
        <w:t xml:space="preserve">- **Cost Reduction Program**: Identify and eliminate non-essential expenses, aiming to reduce operational costs by **5%** annually over the next 2 years.  </w:t>
        <w:br/>
        <w:br/>
        <w:t>## 5.3 Market Development</w:t>
        <w:br/>
        <w:br/>
        <w:t>### **5.3.1 Product Diversification**</w:t>
        <w:br/>
        <w:br/>
        <w:t xml:space="preserve">- **Launch Value-Added Formulations**: Develop and introduce specialty chemicals and fertilizers tailored to niche markets, targeting a **10% increase in revenue** from new products within 3 years.  </w:t>
        <w:br/>
        <w:t xml:space="preserve">- **Sustainability-Focused Products**: Invest in green chemistry initiatives to produce eco-friendly chemicals, aligning with global sustainability trends and capturing emerging market demand.  </w:t>
        <w:br/>
        <w:t xml:space="preserve">- **Digital Integration**: Offer digital solutions, such as precision agriculture tools, to enhance product value and differentiate from competitors.  </w:t>
        <w:br/>
        <w:br/>
        <w:t>### **5.3.2 Market Expansion**</w:t>
        <w:br/>
        <w:br/>
        <w:t xml:space="preserve">- **Domestic Market Recovery Strategy**: Strengthen relationships with local distributors and launch targeted marketing campaigns to regain market share in Egypt, aiming for a **5% increase in domestic sales** within 2 years.  </w:t>
        <w:br/>
        <w:t xml:space="preserve">- **Export Market Development**: Expand presence in African and European markets through participation in trade fairs and leveraging AfCFTA and EU-Egypt trade agreements. Target a **15% increase in export revenue** by 2026.  </w:t>
        <w:br/>
        <w:t xml:space="preserve">- **Strategic Partnerships**: Forge alliances with regional agricultural conglomerates and chemical distributors to access new markets and enhance distribution networks.  </w:t>
        <w:br/>
        <w:br/>
        <w:t>## 5.4 Governance and Sustainability</w:t>
        <w:br/>
        <w:br/>
        <w:t>### **5.4.1 Corporate Governance Enhancement**</w:t>
        <w:br/>
        <w:br/>
        <w:t xml:space="preserve">- **Strengthen Board Composition**: Appoint independent directors with expertise in sustainability and global chemical markets to enhance oversight and strategic decision-making.  </w:t>
        <w:br/>
        <w:t xml:space="preserve">- **Transparency and Reporting**: Implement quarterly financial reporting and ESG disclosures to improve transparency and build investor confidence.  </w:t>
        <w:br/>
        <w:t xml:space="preserve">- **Management Frameworks**: Adopt best practices in risk management and internal controls to ensure compliance and operational resilience.  </w:t>
        <w:br/>
        <w:br/>
        <w:t>### **5.4.2 Environmental and Social Responsibility**</w:t>
        <w:br/>
        <w:br/>
        <w:t xml:space="preserve">- **Environmental Performance Improvement**: Invest in waste reduction and water recycling systems to achieve a **20% reduction in environmental footprint** by 2027.  </w:t>
        <w:br/>
        <w:t xml:space="preserve">- **Energy Efficiency Initiatives**: Transition to renewable energy sources for 30% of total energy consumption by 2030, reducing carbon emissions and operational costs.  </w:t>
        <w:br/>
        <w:t xml:space="preserve">- **Community Impact Programs**: Launch initiatives to support local communities, such as agricultural training programs and educational scholarships, to enhance corporate reputation and social license to operate.  </w:t>
        <w:br/>
        <w:t xml:space="preserve">- **Sustainable Agriculture Promotion**: Partner with farmers to promote sustainable farming practices, ensuring long-term demand for Misr Chemicals’ products while contributing to food security.  </w:t>
        <w:br/>
        <w:br/>
        <w:t>These initiatives are designed to address Misr Chemicals’ current challenges while positioning the company for sustainable growth and market leadership in Egypt’s chemical industry.</w:t>
      </w:r>
    </w:p>
    <w:p>
      <w:pPr>
        <w:pStyle w:val="Heading1"/>
      </w:pPr>
      <w:r>
        <w:t>6. Conclusion</w:t>
      </w:r>
    </w:p>
    <w:p>
      <w:r>
        <w:t>### **Section 6: Conclusion**</w:t>
        <w:br/>
        <w:br/>
        <w:t xml:space="preserve">**Summary of Current Situation:**  </w:t>
        <w:br/>
        <w:t xml:space="preserve">Misr Chemicals, a leading Egyptian chemical producer, has demonstrated robust financial performance with steady revenue growth, improving profitability, and a strong asset base. However, the company faces challenges including rising debt levels, fluctuating operating margins, and dependence on key markets. Operationally, aging infrastructure and increasing regulatory pressures require immediate attention.  </w:t>
        <w:br/>
        <w:br/>
        <w:t xml:space="preserve">**Key Challenges:**  </w:t>
        <w:br/>
        <w:t xml:space="preserve">- Rising debt and constrained cash flow threaten financial sustainability.  </w:t>
        <w:br/>
        <w:t xml:space="preserve">- Operational inefficiencies and high fixed costs impact profitability.  </w:t>
        <w:br/>
        <w:t xml:space="preserve">- Limited R&amp;D investment risks long-term competitiveness.  </w:t>
        <w:br/>
        <w:br/>
        <w:t xml:space="preserve">**Strategic Opportunities:**  </w:t>
        <w:br/>
        <w:t xml:space="preserve">- Leverage Egypt’s strategic position and government initiatives to expand export markets.  </w:t>
        <w:br/>
        <w:t xml:space="preserve">- Invest in green chemistry and sustainability to align with global trends.  </w:t>
        <w:br/>
        <w:t xml:space="preserve">- Enhance production efficiency through technology adoption and workforce upskilling.  </w:t>
        <w:br/>
        <w:br/>
        <w:t xml:space="preserve">**Recommendations:**  </w:t>
        <w:br/>
        <w:t xml:space="preserve">**Restructure: Debt Management**  </w:t>
        <w:br/>
        <w:t xml:space="preserve">Refinance high-interest debt and explore equity financing to reduce the debt-to-assets ratio below 25% within three years.  </w:t>
        <w:br/>
        <w:br/>
        <w:t xml:space="preserve">**Invest: Production Efficiency Enhancement**  </w:t>
        <w:br/>
        <w:t xml:space="preserve">Implement Advanced Process Control (APC) systems and Industry 4.0 technologies to increase production efficiency by 5-7% within 18 months.  </w:t>
        <w:br/>
        <w:br/>
        <w:t xml:space="preserve">**Strategic Adjustments: Market Expansion**  </w:t>
        <w:br/>
        <w:t xml:space="preserve">Expand export presence in African and European markets, targeting a 15% increase in export revenue by 2026.  </w:t>
        <w:br/>
        <w:br/>
        <w:t xml:space="preserve">**Strategic Adjustments: Sustainability Initiatives**  </w:t>
        <w:br/>
        <w:t xml:space="preserve">Invest in renewable energy and waste reduction systems to achieve a 20% reduction in environmental footprint by 2027.  </w:t>
        <w:br/>
        <w:br/>
        <w:t xml:space="preserve">**Final Strategic Recommendation:**  </w:t>
        <w:br/>
        <w:t>Misr Chemicals should prioritize financial restructuring to ensure long-term sustainability, while simultaneously investing in operational efficiency and market expansion to capitalize on Egypt’s strategic advantages and global sustainability trends, positioning itself as a leader in the regional chemical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