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Company Summary Overview</w:t>
      </w:r>
    </w:p>
    <w:p>
      <w:r>
        <w:t xml:space="preserve"># Overview Report: Misr Chemicals  </w:t>
        <w:br/>
        <w:br/>
        <w:t xml:space="preserve">**Date:** [Insert Date]  </w:t>
        <w:br/>
        <w:t xml:space="preserve">**Prepared by:** [Your Name], Senior Business Consultant  </w:t>
        <w:br/>
        <w:br/>
        <w:t>---</w:t>
        <w:br/>
        <w:br/>
        <w:t xml:space="preserve">## **1. Explanation: Current Situation, Strengths, Weaknesses, and Position**  </w:t>
        <w:br/>
        <w:br/>
        <w:t xml:space="preserve">**Current Situation:**  </w:t>
        <w:br/>
        <w:t xml:space="preserve">Misr Chemicals, a leading Egyptian industrial company established in 1958, specializes in the production of chemicals, fertilizers, and industrial gases. The company has demonstrated resilience with steady revenue growth (CAGR of 10.5% from 2019–2024) and improved profitability, driven by operational efficiency and strategic focus on export markets. Recent investments in modernizing production facilities and partnerships to diversify its product portfolio align with Egypt’s Vision 2030 for industrial development.  </w:t>
        <w:br/>
        <w:br/>
        <w:t xml:space="preserve">**Key Strengths:**  </w:t>
        <w:br/>
        <w:t xml:space="preserve">- **Strong Financial Performance:** Revenue grew from EGP 362.6 million in 2019 to EGP 908 million in 2024, with net profits increasing from EGP 77.5 million to EGP 667.4 million.  </w:t>
        <w:br/>
        <w:t xml:space="preserve">- **High Profit Margins:** Gross margin (67.86%) and EBITDA margin (60.74%) significantly exceed industry averages.  </w:t>
        <w:br/>
        <w:t xml:space="preserve">- **Strong Asset Base:** Total assets increased from EGP 570.5 million in 2019 to EGP 2,063.5 million in 2024.  </w:t>
        <w:br/>
        <w:t xml:space="preserve">- **Strategic Partnerships:** Collaborations with German firms and regional conglomerates enhance production efficiency and market reach.  </w:t>
        <w:br/>
        <w:br/>
        <w:t xml:space="preserve">**Key Weaknesses:**  </w:t>
        <w:br/>
        <w:t xml:space="preserve">- **Rising Debt Levels:** Debt-to-assets ratio increased from 14.05% in 2019 to 27.29% in 2024, posing financial risks.  </w:t>
        <w:br/>
        <w:t xml:space="preserve">- **Fluctuating Cash Flows:** Operating cash flow decreased significantly in 2024, impacting liquidity.  </w:t>
        <w:br/>
        <w:t xml:space="preserve">- **Aging Infrastructure:** Requires substantial capital investment for modernization.  </w:t>
        <w:br/>
        <w:t xml:space="preserve">- **Regulatory Pressures:** Increasing environmental compliance costs.  </w:t>
        <w:br/>
        <w:br/>
        <w:t xml:space="preserve">**Overall Position:**  </w:t>
        <w:br/>
        <w:t xml:space="preserve">Misr Chemicals is a market leader in Egypt’s chemical industry, well-positioned for growth due to its strong financial performance, strategic partnerships, and alignment with national industrial goals. However, it faces challenges related to debt management, operational efficiency, and regulatory compliance.  </w:t>
        <w:br/>
        <w:br/>
        <w:t>---</w:t>
        <w:br/>
        <w:br/>
        <w:t xml:space="preserve">## **2. Comparison to Macro State**  </w:t>
        <w:br/>
        <w:br/>
        <w:t xml:space="preserve">**Egyptian Chemical Industry Context:**  </w:t>
        <w:br/>
        <w:t xml:space="preserve">- The Egyptian chemical industry is a key economic contributor, with a market size of USD 15 billion in 2023, growing at a CAGR of 5-6%.  </w:t>
        <w:br/>
        <w:t xml:space="preserve">- Egypt ranks among the top 30 global chemical producers, with a focus on petrochemicals, fertilizers, and basic chemicals.  </w:t>
        <w:br/>
        <w:t xml:space="preserve">- Government initiatives like the Golden License system and the Suez Canal Economic Zone (SCZone) support industry growth.  </w:t>
        <w:br/>
        <w:br/>
        <w:t xml:space="preserve">**Misr Chemicals’ Position:**  </w:t>
        <w:br/>
        <w:t xml:space="preserve">- **Outperforms Industry Averages:** Misr Chemicals’ profitability metrics (gross margin, EBITDA margin, net profit margin) significantly exceed industry benchmarks.  </w:t>
        <w:br/>
        <w:t xml:space="preserve">- **Global Footprint:** Strong export performance, with chemical exports accounting for 20% of Egypt’s non-oil exports.  </w:t>
        <w:br/>
        <w:t xml:space="preserve">- **Alignment with Trends:** Focus on sustainability and green chemistry aligns with global and national trends.  </w:t>
        <w:br/>
        <w:t xml:space="preserve">- **Challenges:** Rising debt levels and fluctuating cash flows lag industry averages, requiring immediate attention.  </w:t>
        <w:br/>
        <w:br/>
        <w:t>---</w:t>
        <w:br/>
        <w:br/>
        <w:t xml:space="preserve">## **3. Suggestions/Recommendations for Future Steps**  </w:t>
        <w:br/>
        <w:br/>
        <w:t xml:space="preserve">**Strategic Recommendations:**  </w:t>
        <w:br/>
        <w:br/>
        <w:t xml:space="preserve">**Invest (Top Priority):**  </w:t>
        <w:br/>
        <w:t xml:space="preserve">- **Modernize Infrastructure:** Allocate capital to upgrade aging facilities, focusing on Alexandria and Suez plants to enhance capacity and efficiency.  </w:t>
        <w:br/>
        <w:t xml:space="preserve">- **R&amp;D and Innovation:** Increase investment in research and development to drive product innovation and diversify into specialty chemicals.  </w:t>
        <w:br/>
        <w:br/>
        <w:t xml:space="preserve">**Strategic Adjustments:**  </w:t>
        <w:br/>
        <w:t xml:space="preserve">- **Debt Management:** Refinance high-interest debt and explore equity financing to reduce the debt-to-assets ratio below 25% within 3 years.  </w:t>
        <w:br/>
        <w:t xml:space="preserve">- **Sustainability Initiatives:** Invest in renewable energy and waste reduction systems to align with global sustainability trends and reduce operational costs.  </w:t>
        <w:br/>
        <w:br/>
        <w:t xml:space="preserve">**Monitor:**  </w:t>
        <w:br/>
        <w:t xml:space="preserve">- **Regulatory Compliance:** Continuously monitor and adapt to environmental regulations to avoid penalties and maintain operational continuity.  </w:t>
        <w:br/>
        <w:t xml:space="preserve">- **Market Dynamics:** Track global chemical market trends and raw material price fluctuations to optimize procurement strategies.  </w:t>
        <w:br/>
        <w:br/>
        <w:t xml:space="preserve">**Restructure:**  </w:t>
        <w:br/>
        <w:t xml:space="preserve">- **Supply Chain Optimization:** Consolidate suppliers, implement real-time inventory management, and optimize logistics to reduce costs and improve efficiency.  </w:t>
        <w:br/>
        <w:t xml:space="preserve">- **Workforce Upskilling:** Launch training programs on lean manufacturing and Industry 4.0 technologies to enhance productivity.  </w:t>
        <w:br/>
        <w:br/>
        <w:t xml:space="preserve">**Exit:**  </w:t>
        <w:br/>
        <w:t xml:space="preserve">- **Non-Core Assets:** Divest non-strategic assets to free up capital for core business investments.  </w:t>
        <w:br/>
        <w:br/>
        <w:t>---</w:t>
        <w:br/>
        <w:br/>
        <w:t xml:space="preserve">**Conclusion:**  </w:t>
        <w:br/>
        <w:t xml:space="preserve">Misr Chemicals is a resilient and profitable player in Egypt’s chemical industry, well-positioned to capitalize on national and global opportunities. By addressing financial challenges, investing in innovation, and aligning with sustainability trends, the company can sustain its leadership and achieve long-term growth.  </w:t>
        <w:br/>
        <w:br/>
        <w:t xml:space="preserve">---  </w:t>
        <w:br/>
        <w:t>**End of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