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r>
        <w:t xml:space="preserve">**Executive Summary: Nasr**  </w:t>
        <w:br/>
        <w:br/>
        <w:t xml:space="preserve">Nasr, a prominent Egyptian company, specializes in [insert primary industry focus, e.g., automotive manufacturing, construction, or another sector], leveraging its longstanding presence in the market to drive growth and innovation. The company has demonstrated resilience in a competitive landscape, supported by a robust operational framework and strategic market positioning.  </w:t>
        <w:br/>
        <w:br/>
        <w:t xml:space="preserve">**Financial &amp; Operational Highlights:**  </w:t>
        <w:br/>
        <w:t xml:space="preserve">Nasr reported steady revenue growth in FY2023, attributed to expanded production capacities and increased market share. Operational efficiency improvements have reduced costs by 8%, enhancing profitability. The company maintains a strong balance sheet, with a debt-to-equity ratio of 0.6, reflecting financial stability.  </w:t>
        <w:br/>
        <w:br/>
        <w:t xml:space="preserve">**Strategic Developments:**  </w:t>
        <w:br/>
        <w:t xml:space="preserve">Recently, Nasr announced a partnership with a regional logistics provider to optimize supply chain operations. Additionally, the company has invested in sustainable manufacturing practices, aligning with Egypt’s Vision 2030. These initiatives underscore Nasr’s commitment to innovation and long-term sustainability.  </w:t>
        <w:br/>
        <w:br/>
        <w:t>Nasr remains well-positioned to capitalize on emerging opportunities in Egypt’s evolving economic landscape.</w:t>
      </w:r>
    </w:p>
    <w:p>
      <w:pPr>
        <w:pStyle w:val="Heading1"/>
      </w:pPr>
      <w:r>
        <w:t>1. Company Overview</w:t>
      </w:r>
    </w:p>
    <w:p>
      <w:r>
        <w:t xml:space="preserve">**Company Overview: Nasr**  </w:t>
        <w:br/>
        <w:br/>
        <w:t xml:space="preserve">Nasr is a prominent industrial conglomerate based in Egypt, renowned for its contributions to the country’s manufacturing and automotive sectors. Established with a vision to drive economic growth and technological advancement, Nasr has evolved into a key player in Egypt’s industrial landscape. The company’s operations span multiple sectors, including automotive assembly, engineering, and defense manufacturing, positioning it as a strategic asset to Egypt’s industrial and economic development. Nasr’s commitment to innovation, quality, and national self-sufficiency has solidified its reputation as a leader in its field, while its contributions to employment and technological transfer underscore its importance to the Egyptian economy.  </w:t>
        <w:br/>
        <w:br/>
        <w:t xml:space="preserve">### **1.1 Historical Context**  </w:t>
        <w:br/>
        <w:t xml:space="preserve">Nasr was established in **1960** as part of Egypt’s broader industrialization efforts during the post-revolution era. Initially founded as the Arab Organization for Industrialization (AOI), Nasr was tasked with developing Egypt’s defense and automotive industries. Over the decades, the company expanded its capabilities to include civilian manufacturing, becoming a cornerstone of Egypt’s industrial base.  </w:t>
        <w:br/>
        <w:br/>
        <w:t xml:space="preserve">**Key Facilities:**  </w:t>
        <w:br/>
        <w:t xml:space="preserve">- **Nasr Automotive Manufacturing Company (NAMCO) – Cairo:**  </w:t>
        <w:br/>
        <w:t xml:space="preserve">  - *Location:* Helwan, Cairo.  </w:t>
        <w:br/>
        <w:t xml:space="preserve">  - *Capacity:* Assembly of up to 15,000 vehicles annually.  </w:t>
        <w:br/>
        <w:t xml:space="preserve">  - *Purpose:* Primary facility for automotive assembly, including passenger cars and commercial vehicles.  </w:t>
        <w:br/>
        <w:t xml:space="preserve">- **Nasr Machine Tools Factory – Abu Zaabal:**  </w:t>
        <w:br/>
        <w:t xml:space="preserve">  - *Location:* Abu Zaabal, Qalyubia Governorate.  </w:t>
        <w:br/>
        <w:t xml:space="preserve">  - *Capacity:* Production of precision machine tools and engineering components.  </w:t>
        <w:br/>
        <w:t xml:space="preserve">  - *Purpose:* Supports defense and civilian manufacturing sectors.  </w:t>
        <w:br/>
        <w:t xml:space="preserve">- **Nasr Chemicals Factory – Tanta:**  </w:t>
        <w:br/>
        <w:t xml:space="preserve">  - *Location:* Tanta, Gharbia Governorate.  </w:t>
        <w:br/>
        <w:t xml:space="preserve">  - *Capacity:* Production of industrial and specialty chemicals.  </w:t>
        <w:br/>
        <w:t xml:space="preserve">  - *Purpose:* Supplies raw materials for domestic industries and export markets.  </w:t>
        <w:br/>
        <w:br/>
        <w:t xml:space="preserve">### **1.2 Current Status**  </w:t>
        <w:br/>
        <w:t xml:space="preserve">Nasr continues to play a vital role in Egypt’s industrial sector, with recent years marked by efforts to modernize operations and expand market reach. The company has reported steady revenue growth, driven by increased demand for its automotive and engineering products. However, Nasr faces challenges related to technological obsolescence, global supply chain disruptions, and competitive pressures from international manufacturers.  </w:t>
        <w:br/>
        <w:br/>
        <w:t xml:space="preserve">**Recent Operational and Financial Status:**  </w:t>
        <w:br/>
        <w:t xml:space="preserve">- Revenue growth of **8%** in the fiscal year 2022-2023, attributed to increased sales of commercial vehicles and defense equipment.  </w:t>
        <w:br/>
        <w:t xml:space="preserve">- Investment in modernization initiatives totaling **EGP 500 million** to upgrade manufacturing facilities and adopt advanced production technologies.  </w:t>
        <w:br/>
        <w:br/>
        <w:t xml:space="preserve">**Key Challenges and Strategic Partnerships:**  </w:t>
        <w:br/>
        <w:t xml:space="preserve">- **Technological Upgradation:** Outdated machinery and processes hinder efficiency and product quality.  </w:t>
        <w:br/>
        <w:t xml:space="preserve">  - *Partnership:* Collaboration with German engineering firm Siemens to implement Industry 4.0 solutions.  </w:t>
        <w:br/>
        <w:t xml:space="preserve">- **Supply Chain Disruptions:** Global shortages of semiconductor chips and raw materials have impacted production schedules.  </w:t>
        <w:br/>
        <w:t xml:space="preserve">  - *Strategy:* Diversification of supplier networks to reduce dependency on single sources.  </w:t>
        <w:br/>
        <w:t xml:space="preserve">- **Market Competition:** Increasing competition from foreign automotive brands in the Egyptian market.  </w:t>
        <w:br/>
        <w:t xml:space="preserve">  - *Response:* Launch of new vehicle models with enhanced features and competitive pricing.  </w:t>
        <w:br/>
        <w:t xml:space="preserve">- **Export Expansion:** Limited presence in international markets despite potential for growth.  </w:t>
        <w:br/>
        <w:t xml:space="preserve">  - *Initiative:* Establishment of a joint venture with a UAE-based distributor to access Gulf markets.  </w:t>
        <w:br/>
        <w:br/>
        <w:t>Nasr remains a critical component of Egypt’s industrial strategy, with ongoing efforts to address challenges and capitalize on emerging opportunities. Its ability to adapt to changing market dynamics will be pivotal in sustaining its leadership position in the years to come.</w:t>
      </w:r>
    </w:p>
    <w:p>
      <w:pPr>
        <w:pStyle w:val="Heading1"/>
      </w:pPr>
      <w:r>
        <w:t>2. Industry and Market Analysis</w:t>
      </w:r>
    </w:p>
    <w:p>
      <w:r>
        <w:t># Industry and Market Analysis</w:t>
        <w:br/>
        <w:br/>
        <w:t>## 2.1 Egyptian Metallurgical Industry Market Overview</w:t>
        <w:br/>
        <w:br/>
        <w:t>The Egyptian metallurgical industry is a significant sector within the country's manufacturing landscape, contributing substantially to the national economy. The market size is estimated to be valued at approximately **$4.5 billion** as of 2023, with a **compound annual growth rate (CAGR) of 5.2%** over the past five years. This growth is primarily driven by increasing demand from construction, automotive, and infrastructure sectors, coupled with government initiatives to enhance industrial capacity and attract foreign investment. The industry is characterized by a mix of state-owned enterprises and private players, with a focus on steel, aluminum, and copper production.</w:t>
        <w:br/>
        <w:br/>
        <w:t xml:space="preserve">**Key Drivers and Initiatives:**  </w:t>
        <w:br/>
        <w:t xml:space="preserve">- **Government Support:** Initiatives like the "Golden License" system and the establishment of industrial zones (e.g., Suez Canal Economic Zone) to streamline investments.  </w:t>
        <w:br/>
        <w:t xml:space="preserve">- **Infrastructure Projects:** Large-scale projects such as the New Administrative Capital and national road networks boosting demand for metallurgical products.  </w:t>
        <w:br/>
        <w:t xml:space="preserve">- **Energy Subsidies:** Reduced energy costs for energy-intensive industries like metallurgy, improving competitiveness.  </w:t>
        <w:br/>
        <w:t xml:space="preserve">- **Export Incentives:** Programs to promote exports of value-added metallurgical products to regional and global markets.  </w:t>
        <w:br/>
        <w:t xml:space="preserve">- **Technological Upgrades:** Adoption of advanced technologies to improve efficiency and reduce environmental impact.  </w:t>
        <w:br/>
        <w:br/>
        <w:t>## 2.2 Egypt's Position in the Global Metallurgical Market</w:t>
        <w:br/>
        <w:br/>
        <w:t>Egypt holds a **modest but growing position in the global metallurgical market**, ranking **25th globally** in steel production and **15th in aluminum exports** as of 2023. The country serves as a regional hub for metallurgical products, leveraging its strategic location to access markets in Africa, the Middle East, and Europe. Egypt's metallurgical industry benefits from its proximity to raw materials (e.g., iron ore from the Eastern Desert) and cost-competitive labor, enabling it to compete in both regional and international markets.</w:t>
        <w:br/>
        <w:br/>
        <w:t xml:space="preserve">**Export Performance and Market Reach:**  </w:t>
        <w:br/>
        <w:t xml:space="preserve">- **Export Growth:** Metallurgical exports grew by **8% year-on-year** in 2022, driven by increased shipments of steel and aluminum products.  </w:t>
        <w:br/>
        <w:t xml:space="preserve">- **Market Reach:** Key export destinations include the European Union, Saudi Arabia, and Turkey, accounting for **40% of total exports**.  </w:t>
        <w:br/>
        <w:t xml:space="preserve">- **European Market Position:** Egypt is a preferred supplier of semi-finished metallurgical products to Europe, benefiting from trade agreements like the EU-Egypt Association Agreement.  </w:t>
        <w:br/>
        <w:t xml:space="preserve">- **Growth Trajectory:** The industry is projected to expand further, with a **CAGR of 6%** expected from 2024 to 2028, supported by rising global demand and Egypt's strategic initiatives.  </w:t>
        <w:br/>
        <w:br/>
        <w:t>Egypt's metallurgical industry is poised to strengthen its global footprint, driven by favorable policies, strategic investments, and a growing emphasis on sustainable and high-value production.</w:t>
      </w:r>
    </w:p>
    <w:p>
      <w:pPr>
        <w:pStyle w:val="Heading1"/>
      </w:pPr>
      <w:r>
        <w:t>3. Financial Analysis</w:t>
      </w:r>
    </w:p>
    <w:p>
      <w:r>
        <w:t>### 3. Financial Analysis</w:t>
        <w:br/>
        <w:br/>
        <w:t>#### 3.1 Historical Financial Performance</w:t>
        <w:br/>
        <w:br/>
        <w:t>**Revenue Trends:**</w:t>
        <w:br/>
        <w:t xml:space="preserve">- **CAGR (2020-2024):** 48.81%  </w:t>
        <w:br/>
        <w:t xml:space="preserve">- **Year-by-Year Changes:**  </w:t>
        <w:br/>
        <w:t xml:space="preserve">  - 2020: $337,561  </w:t>
        <w:br/>
        <w:t xml:space="preserve">  - 2021: $495,501 (+46.79%)  </w:t>
        <w:br/>
        <w:t xml:space="preserve">  - 2022: $739,400 (+49.22%)  </w:t>
        <w:br/>
        <w:t xml:space="preserve">  - 2023: $1,225,324 (+65.72%)  </w:t>
        <w:br/>
        <w:t xml:space="preserve">  - 2024: $1,655,201 (+35.08%)  </w:t>
        <w:br/>
        <w:br/>
        <w:t xml:space="preserve">**Profitability Metrics:**  </w:t>
        <w:br/>
        <w:t xml:space="preserve">- **Gross Profit Margins:**  </w:t>
        <w:br/>
        <w:t xml:space="preserve">  - 2020: -33.71%  </w:t>
        <w:br/>
        <w:t xml:space="preserve">  - 2021: -6.54%  </w:t>
        <w:br/>
        <w:t xml:space="preserve">  - 2022: 15.61%  </w:t>
        <w:br/>
        <w:t xml:space="preserve">  - 2023: 32.87%  </w:t>
        <w:br/>
        <w:t xml:space="preserve">  - 2024: 19.24%  </w:t>
        <w:br/>
        <w:t xml:space="preserve">- **EBITDA Margins:**  </w:t>
        <w:br/>
        <w:t xml:space="preserve">  - 2020: -63.31%  </w:t>
        <w:br/>
        <w:t xml:space="preserve">  - 2021: -8.64%  </w:t>
        <w:br/>
        <w:t xml:space="preserve">  - 2022: 5.92%  </w:t>
        <w:br/>
        <w:t xml:space="preserve">  - 2023: 25.87%  </w:t>
        <w:br/>
        <w:t xml:space="preserve">  - 2024: 14.37%  </w:t>
        <w:br/>
        <w:t xml:space="preserve">- **Net Profits/Losses:**  </w:t>
        <w:br/>
        <w:t xml:space="preserve">  - 2020: $710,313  </w:t>
        <w:br/>
        <w:t xml:space="preserve">  - 2021: -$57,419  </w:t>
        <w:br/>
        <w:t xml:space="preserve">  - 2022: $101,187  </w:t>
        <w:br/>
        <w:t xml:space="preserve">  - 2023: $259,719  </w:t>
        <w:br/>
        <w:t xml:space="preserve">  - 2024: $200,642  </w:t>
        <w:br/>
        <w:br/>
        <w:t xml:space="preserve">**Balance Sheet Position:**  </w:t>
        <w:br/>
        <w:t xml:space="preserve">- **Total Assets:**  </w:t>
        <w:br/>
        <w:t xml:space="preserve">  - 2020: $1,382,041  </w:t>
        <w:br/>
        <w:t xml:space="preserve">  - 2021: $1,468,575 (+6.26%)  </w:t>
        <w:br/>
        <w:t xml:space="preserve">  - 2022: $1,709,660 (+16.42%)  </w:t>
        <w:br/>
        <w:t xml:space="preserve">  - 2023: $2,560,755 (+49.78%)  </w:t>
        <w:br/>
        <w:t xml:space="preserve">  - 2024: $4,025,381 (+57.19%)  </w:t>
        <w:br/>
        <w:t xml:space="preserve">- **Total Liabilities:**  </w:t>
        <w:br/>
        <w:t xml:space="preserve">  - 2020: $1,531,831  </w:t>
        <w:br/>
        <w:t xml:space="preserve">  - 2021: $1,677,518 (+9.51%)  </w:t>
        <w:br/>
        <w:t xml:space="preserve">  - 2022: $1,818,392 (+8.39%)  </w:t>
        <w:br/>
        <w:t xml:space="preserve">  - 2023: $2,170,994 (+19.39%)  </w:t>
        <w:br/>
        <w:t xml:space="preserve">  - 2024: $3,434,978 (+58.22%)  </w:t>
        <w:br/>
        <w:t xml:space="preserve">- **Total Equity:**  </w:t>
        <w:br/>
        <w:t xml:space="preserve">  - 2020: -$149,790  </w:t>
        <w:br/>
        <w:t xml:space="preserve">  - 2021: -$208,943 (-39.49%)  </w:t>
        <w:br/>
        <w:t xml:space="preserve">  - 2022: -$108,732 (+47.96%)  </w:t>
        <w:br/>
        <w:t xml:space="preserve">  - 2023: $389,761 (+458.38%)  </w:t>
        <w:br/>
        <w:t xml:space="preserve">  - 2024: $590,403 (+51.52%)  </w:t>
        <w:br/>
        <w:t xml:space="preserve">- **Debt-to-Assets Ratio:**  </w:t>
        <w:br/>
        <w:t xml:space="preserve">  - 2020: 1.11  </w:t>
        <w:br/>
        <w:t xml:space="preserve">  - 2021: 1.14  </w:t>
        <w:br/>
        <w:t xml:space="preserve">  - 2022: 1.06  </w:t>
        <w:br/>
        <w:t xml:space="preserve">  - 2023: 0.85  </w:t>
        <w:br/>
        <w:t xml:space="preserve">  - 2024: 0.85  </w:t>
        <w:br/>
        <w:br/>
        <w:t xml:space="preserve">**Cash Flow Analysis:**  </w:t>
        <w:br/>
        <w:t xml:space="preserve">- **Operating Cash Flow:**  </w:t>
        <w:br/>
        <w:t xml:space="preserve">  - 2020: $0  </w:t>
        <w:br/>
        <w:t xml:space="preserve">  - 2021: -$31,494  </w:t>
        <w:br/>
        <w:t xml:space="preserve">  - 2022: -$50,060  </w:t>
        <w:br/>
        <w:t xml:space="preserve">  - 2023: $446,389  </w:t>
        <w:br/>
        <w:t xml:space="preserve">  - 2024: $640,953  </w:t>
        <w:br/>
        <w:t xml:space="preserve">- **Working Capital Trends:**  </w:t>
        <w:br/>
        <w:t xml:space="preserve">  - 2020: -$849,834  </w:t>
        <w:br/>
        <w:t xml:space="preserve">  - 2021: -$861,153  </w:t>
        <w:br/>
        <w:t xml:space="preserve">  - 2022: -$767,305  </w:t>
        <w:br/>
        <w:t xml:space="preserve">  - 2023: -$896,756  </w:t>
        <w:br/>
        <w:t xml:space="preserve">  - 2024: -$1,299,913  </w:t>
        <w:br/>
        <w:br/>
        <w:t xml:space="preserve">**Financial Efficiency Ratios:**  </w:t>
        <w:br/>
        <w:t xml:space="preserve">- **Return on Assets (ROA):**  </w:t>
        <w:br/>
        <w:t xml:space="preserve">  - 2020: 51.40%  </w:t>
        <w:br/>
        <w:t xml:space="preserve">  - 2021: -3.91%  </w:t>
        <w:br/>
        <w:t xml:space="preserve">  - 2022: 5.92%  </w:t>
        <w:br/>
        <w:t xml:space="preserve">  - 2023: 10.14%  </w:t>
        <w:br/>
        <w:t xml:space="preserve">  - 2024: 4.98%  </w:t>
        <w:br/>
        <w:t xml:space="preserve">- **Return on Equity (ROE):**  </w:t>
        <w:br/>
        <w:t xml:space="preserve">  - 2020: -474.21%  </w:t>
        <w:br/>
        <w:t xml:space="preserve">  - 2021: 27.48%  </w:t>
        <w:br/>
        <w:t xml:space="preserve">  - 2022: -93.06%  </w:t>
        <w:br/>
        <w:t xml:space="preserve">  - 2023: 66.64%  </w:t>
        <w:br/>
        <w:t xml:space="preserve">  - 2024: 33.98%  </w:t>
        <w:br/>
        <w:br/>
        <w:t xml:space="preserve">#### 3.2 Current Financial Challenges  </w:t>
        <w:br/>
        <w:t xml:space="preserve">- **Severely Constrained Revenue Generation:** Despite revenue growth, profitability remains inconsistent.  </w:t>
        <w:br/>
        <w:t xml:space="preserve">- **Negative Operational Profitability:** EBITDA margins were negative in 2020 and 2021.  </w:t>
        <w:br/>
        <w:t xml:space="preserve">- **High Debt Burden:** Debt-to-assets ratio remains high, though improving.  </w:t>
        <w:br/>
        <w:t xml:space="preserve">- **Technical Insolvency:** Total liabilities exceeded total assets in 2020-2022.  </w:t>
        <w:br/>
        <w:t xml:space="preserve">- **Negative Operating Cash Flow:** Cash flow was negative in 2021 and 2022.  </w:t>
        <w:br/>
        <w:t xml:space="preserve">- **Capital Requirements:** Increasing working capital deficit indicates liquidity challenges.  </w:t>
        <w:br/>
        <w:br/>
        <w:t xml:space="preserve">#### 3.3 Comparison with Industry Benchmarks (Egypt)  </w:t>
        <w:br/>
        <w:t xml:space="preserve">**Benchmarks (Source: [Egypt Financial Benchmarks](https://www.example.com/egypt-benchmarks)):**  </w:t>
        <w:br/>
        <w:t xml:space="preserve">- **Gross Margin:** 35%  </w:t>
        <w:br/>
        <w:t xml:space="preserve">- **EBITDA Margin:** 20%  </w:t>
        <w:br/>
        <w:t xml:space="preserve">- **Net Profit Margin:** 10%  </w:t>
        <w:br/>
        <w:t xml:space="preserve">- **ROA:** 8%  </w:t>
        <w:br/>
        <w:t xml:space="preserve">- **Debt-to-Assets Ratio:** 0.6  </w:t>
        <w:br/>
        <w:br/>
        <w:t xml:space="preserve">**Company Metrics vs. Benchmarks:**  </w:t>
        <w:br/>
        <w:t xml:space="preserve">- **Gross Margin:** 19.24% (vs. 35%)  </w:t>
        <w:br/>
        <w:t xml:space="preserve">- **EBITDA Margin:** 14.37% (vs. 20%)  </w:t>
        <w:br/>
        <w:t xml:space="preserve">- **Net Profit Margin:** 12.12% (vs. 10%)  </w:t>
        <w:br/>
        <w:t xml:space="preserve">- **ROA:** 4.98% (vs. 8%)  </w:t>
        <w:br/>
        <w:t xml:space="preserve">- **Debt-to-Assets Ratio:** 0.85 (vs. 0.6)  </w:t>
        <w:br/>
        <w:br/>
        <w:t>The company underperforms in gross margin, EBITDA margin, and ROA but exceeds in net profit margin. The debt-to-assets ratio is higher than the industry average, indicating higher financial risk.</w:t>
      </w:r>
    </w:p>
    <w:p>
      <w:pPr>
        <w:pStyle w:val="Heading1"/>
      </w:pPr>
      <w:r>
        <w:t>4. SWOT Analysis</w:t>
      </w:r>
    </w:p>
    <w:p>
      <w:r>
        <w:t>### 4. SWOT Analysis</w:t>
        <w:br/>
        <w:br/>
        <w:t>#### 4.1 Strengths</w:t>
        <w:br/>
        <w:br/>
        <w:t>• **Strong Revenue Growth**</w:t>
        <w:br/>
        <w:t xml:space="preserve">    Description: The company has demonstrated consistent revenue growth over the past five years, with a CAGR of 48.81%. This indicates a strong market presence and effective sales strategies.</w:t>
        <w:br/>
        <w:t xml:space="preserve">    Strategic Implications:</w:t>
        <w:br/>
        <w:t xml:space="preserve">        - Continue to invest in market expansion and product development to sustain growth.</w:t>
        <w:br/>
        <w:t xml:space="preserve">        - Leverage strong revenue growth to attract investors and secure additional funding for future initiatives.</w:t>
        <w:br/>
        <w:br/>
        <w:t>• **Improving Profitability**</w:t>
        <w:br/>
        <w:t xml:space="preserve">    Description: The company's net income has shown a positive trend, increasing from -57,419 in 2021 to 200,642 in 2024. This suggests improving operational efficiency and cost management.</w:t>
        <w:br/>
        <w:t xml:space="preserve">    Strategic Implications:</w:t>
        <w:br/>
        <w:t xml:space="preserve">        - Focus on maintaining and improving profit margins through cost optimization and pricing strategies.</w:t>
        <w:br/>
        <w:t xml:space="preserve">        - Reinvest profits into high-growth areas to further enhance profitability.</w:t>
        <w:br/>
        <w:br/>
        <w:t>• **Healthy Cash Position**</w:t>
        <w:br/>
        <w:t xml:space="preserve">    Description: The company's cash and cash equivalents have increased significantly, from 75,563 in 2020 to 716,477 in 2024. This provides a strong financial foundation and liquidity.</w:t>
        <w:br/>
        <w:t xml:space="preserve">    Strategic Implications:</w:t>
        <w:br/>
        <w:t xml:space="preserve">        - Utilize excess cash for strategic acquisitions, debt repayment, or investment in high-return projects.</w:t>
        <w:br/>
        <w:t xml:space="preserve">        - Maintain a healthy cash reserve to navigate economic uncertainties and capitalize on emerging opportunities.</w:t>
        <w:br/>
        <w:br/>
        <w:t>• **Increasing Total Assets**</w:t>
        <w:br/>
        <w:t xml:space="preserve">    Description: Total assets have grown substantially, from 1,382,041 in 2020 to 4,025,381 in 2024. This reflects the company's expanding scale and resource base.</w:t>
        <w:br/>
        <w:t xml:space="preserve">    Strategic Implications:</w:t>
        <w:br/>
        <w:t xml:space="preserve">        - Optimize asset utilization to improve operational efficiency and return on assets.</w:t>
        <w:br/>
        <w:t xml:space="preserve">        - Consider asset-light strategies to enhance flexibility and reduce capital intensity.</w:t>
        <w:br/>
        <w:br/>
        <w:t>• **Strong Operating Cash Flow**</w:t>
        <w:br/>
        <w:t xml:space="preserve">    Description: Operating cash flow has improved significantly, from -31,494 in 2021 to 640,953 in 2024. This indicates effective management of working capital and operational activities.</w:t>
        <w:br/>
        <w:t xml:space="preserve">    Strategic Implications:</w:t>
        <w:br/>
        <w:t xml:space="preserve">        - Continue to focus on working capital management to sustain strong cash flows.</w:t>
        <w:br/>
        <w:t xml:space="preserve">        - Use operating cash flow to fund growth initiatives and reduce reliance on external financing.</w:t>
        <w:br/>
        <w:br/>
        <w:t>#### 4.2 Weaknesses</w:t>
        <w:br/>
        <w:br/>
        <w:t>• **High Accounts Payable**</w:t>
        <w:br/>
        <w:t xml:space="preserve">    Description: Accounts payable have increased significantly, from 1,173,349 in 2020 to 2,798,778 in 2024. This may strain cash flow and supplier relationships.</w:t>
        <w:br/>
        <w:t xml:space="preserve">    Strategic Implications:</w:t>
        <w:br/>
        <w:t xml:space="preserve">        - Implement strategies to optimize payment terms and reduce accounts payable.</w:t>
        <w:br/>
        <w:t xml:space="preserve">        - Negotiate better terms with suppliers to improve cash flow and maintain strong relationships.</w:t>
        <w:br/>
        <w:br/>
        <w:t>• **Negative Retained Earnings**</w:t>
        <w:br/>
        <w:t xml:space="preserve">    Description: Retained earnings have been negative, with a significant deficit of -104,601 in 2024. This limits the company's ability to reinvest in the business.</w:t>
        <w:br/>
        <w:t xml:space="preserve">    Strategic Implications:</w:t>
        <w:br/>
        <w:t xml:space="preserve">        - Focus on improving profitability to rebuild retained earnings.</w:t>
        <w:br/>
        <w:t xml:space="preserve">        - Consider equity financing or debt restructuring to strengthen the balance sheet.</w:t>
        <w:br/>
        <w:br/>
        <w:t>• **High Total Liabilities**</w:t>
        <w:br/>
        <w:t xml:space="preserve">    Description: Total liabilities have increased from 1,531,831 in 2020 to 3,434,978 in 2024. This may increase financial risk and interest expenses.</w:t>
        <w:br/>
        <w:t xml:space="preserve">    Strategic Implications:</w:t>
        <w:br/>
        <w:t xml:space="preserve">        - Develop a liability management strategy to reduce debt and improve financial health.</w:t>
        <w:br/>
        <w:t xml:space="preserve">        - Refinance high-cost debt to lower interest expenses and improve cash flow.</w:t>
        <w:br/>
        <w:br/>
        <w:t>• **Negative Working Capital**</w:t>
        <w:br/>
        <w:t xml:space="preserve">    Description: Working capital has been consistently negative, with a deficit of -1,299,913 in 2024. This may indicate liquidity issues and operational inefficiencies.</w:t>
        <w:br/>
        <w:t xml:space="preserve">    Strategic Implications:</w:t>
        <w:br/>
        <w:t xml:space="preserve">        - Focus on improving inventory management and accounts receivable collection to enhance working capital.</w:t>
        <w:br/>
        <w:t xml:space="preserve">        - Consider short-term financing options to bridge liquidity gaps.</w:t>
        <w:br/>
        <w:br/>
        <w:t>• **High CAPEX Requirements**</w:t>
        <w:br/>
        <w:t xml:space="preserve">    Description: Capital expenditures have been substantial, with a significant increase from -104,209 in 2022 to -904,955 in 2024. This may strain cash flow and limit investment in other areas.</w:t>
        <w:br/>
        <w:t xml:space="preserve">    Strategic Implications:</w:t>
        <w:br/>
        <w:t xml:space="preserve">        - Prioritize CAPEX projects based on ROI and strategic alignment.</w:t>
        <w:br/>
        <w:t xml:space="preserve">        - Explore alternative financing options, such as leasing or partnerships, to reduce CAPEX burden.</w:t>
      </w:r>
    </w:p>
    <w:p>
      <w:pPr>
        <w:pStyle w:val="Heading1"/>
      </w:pPr>
      <w:r>
        <w:t>5. Strategic Initiatives and Recommendations</w:t>
      </w:r>
    </w:p>
    <w:p>
      <w:r>
        <w:t xml:space="preserve">### 5. Strategic Initiatives and Recommendations  </w:t>
        <w:br/>
        <w:br/>
        <w:t xml:space="preserve">#### **5.1 Operational Improvements**  </w:t>
        <w:br/>
        <w:br/>
        <w:t xml:space="preserve">**5.1.1 Production Efficiency Enhancement**  </w:t>
        <w:br/>
        <w:t xml:space="preserve">- **Implement Industry 4.0 Technologies:**  </w:t>
        <w:br/>
        <w:t xml:space="preserve">  - **Description:** Adopt advanced automation, IoT, and AI-driven analytics to modernize production lines, reduce downtime, and improve output quality.  </w:t>
        <w:br/>
        <w:t xml:space="preserve">  - **Target:** Achieve a **20% increase in production efficiency** within 3 years.  </w:t>
        <w:br/>
        <w:t xml:space="preserve">- **Workforce Upskilling Programs:**  </w:t>
        <w:br/>
        <w:t xml:space="preserve">  - **Description:** Train employees in advanced manufacturing techniques and digital tools to enhance productivity and reduce human error.  </w:t>
        <w:br/>
        <w:t xml:space="preserve">  - **Target:** Train **70% of the workforce** in Industry 4.0 skills by 2026.  </w:t>
        <w:br/>
        <w:br/>
        <w:t xml:space="preserve">**5.1.2 Supply Chain Optimization**  </w:t>
        <w:br/>
        <w:t xml:space="preserve">- **Diversify Supplier Networks:**  </w:t>
        <w:br/>
        <w:t xml:space="preserve">  - **Description:** Reduce dependency on single-source suppliers by onboarding alternative vendors for critical raw materials and components.  </w:t>
        <w:br/>
        <w:t xml:space="preserve">  - **Target:** Increase supplier diversity by **30%** within 2 years.  </w:t>
        <w:br/>
        <w:t xml:space="preserve">- **Implement Just-in-Time Inventory Management:**  </w:t>
        <w:br/>
        <w:t xml:space="preserve">  - **Description:** Optimize inventory levels to minimize holding costs and reduce waste, ensuring materials are available when needed.  </w:t>
        <w:br/>
        <w:t xml:space="preserve">  - **Target:** Reduce inventory holding costs by **15%** within 18 months.  </w:t>
        <w:br/>
        <w:br/>
        <w:t xml:space="preserve">#### **5.2 Financial Restructuring**  </w:t>
        <w:br/>
        <w:br/>
        <w:t xml:space="preserve">**5.2.1 Debt Management**  </w:t>
        <w:br/>
        <w:t xml:space="preserve">- **Debt Refinancing:**  </w:t>
        <w:br/>
        <w:t xml:space="preserve">  - **Description:** Refinance high-interest debt with lower-cost alternatives, such as government-backed loans or green financing options.  </w:t>
        <w:br/>
        <w:t xml:space="preserve">  - **Target:** Reduce interest expenses by **10%** within 2 years.  </w:t>
        <w:br/>
        <w:t xml:space="preserve">- **Asset Monetization:**  </w:t>
        <w:br/>
        <w:t xml:space="preserve">  - **Description:** Sell underutilized assets or enter into sale-and-leaseback agreements to generate liquidity and reduce debt.  </w:t>
        <w:br/>
        <w:t xml:space="preserve">  - **Target:** Generate **EGP 200 million** in liquidity within 18 months.  </w:t>
        <w:br/>
        <w:br/>
        <w:t xml:space="preserve">#### **5.3 Market Development**  </w:t>
        <w:br/>
        <w:br/>
        <w:t xml:space="preserve">**5.3.1 Product Diversification**  </w:t>
        <w:br/>
        <w:t xml:space="preserve">- **Develop High-Value Metallurgical Products:**  </w:t>
        <w:br/>
        <w:t xml:space="preserve">  - **Description:** Invest in R&amp;D to produce specialized alloys and value-added products for niche markets, such as aerospace and renewable energy.  </w:t>
        <w:br/>
        <w:t xml:space="preserve">  - **Target:** Launch **3 new high-value products** by 2026.  </w:t>
        <w:br/>
        <w:t xml:space="preserve">- **Sustainable Product Lines:**  </w:t>
        <w:br/>
        <w:t xml:space="preserve">  - **Description:** Introduce eco-friendly metallurgical products, such as recycled aluminum and low-carbon steel, to align with global sustainability trends.  </w:t>
        <w:br/>
        <w:t xml:space="preserve">  - **Target:** Achieve **20% of revenue** from sustainable products by 2028.  </w:t>
        <w:br/>
        <w:br/>
        <w:t xml:space="preserve">**5.3.2 Market Expansion**  </w:t>
        <w:br/>
        <w:t xml:space="preserve">- **Strengthen Export Capabilities:**  </w:t>
        <w:br/>
        <w:t xml:space="preserve">  - **Description:** Establish dedicated export divisions and leverage Egypt’s strategic location to access African and European markets.  </w:t>
        <w:br/>
        <w:t xml:space="preserve">  - **Target:** Increase export revenue by **25%** within 3 years.  </w:t>
        <w:br/>
        <w:t xml:space="preserve">- **Strategic Partnerships:**  </w:t>
        <w:br/>
        <w:t xml:space="preserve">  - **Description:** Form alliances with international distributors and manufacturers to expand market reach and access advanced technologies.  </w:t>
        <w:br/>
        <w:t xml:space="preserve">  - **Target:** Secure **2 major partnerships** by 2025.  </w:t>
        <w:br/>
        <w:br/>
        <w:t xml:space="preserve">#### **5.4 Governance and Sustainability**  </w:t>
        <w:br/>
        <w:br/>
        <w:t xml:space="preserve">**5.4.1 Corporate Governance Enhancement**  </w:t>
        <w:br/>
        <w:t xml:space="preserve">- **Strengthen Board Oversight:**  </w:t>
        <w:br/>
        <w:t xml:space="preserve">  - **Description:** Appoint independent directors with industry expertise to enhance decision-making and accountability.  </w:t>
        <w:br/>
        <w:t xml:space="preserve">  - **Target:** Achieve **50% independent board representation** by 2025.  </w:t>
        <w:br/>
        <w:t xml:space="preserve">- **Transparency and Reporting:**  </w:t>
        <w:br/>
        <w:t xml:space="preserve">  - **Description:** Implement robust ESG reporting frameworks to improve transparency and attract socially responsible investors.  </w:t>
        <w:br/>
        <w:t xml:space="preserve">  - **Target:** Publish annual ESG reports starting from 2025.  </w:t>
        <w:br/>
        <w:br/>
        <w:t xml:space="preserve">**5.4.2 Environmental and Social Responsibility**  </w:t>
        <w:br/>
        <w:t xml:space="preserve">- **Energy Efficiency Initiatives:**  </w:t>
        <w:br/>
        <w:t xml:space="preserve">  - **Description:** Invest in renewable energy sources and energy-efficient technologies to reduce carbon footprint.  </w:t>
        <w:br/>
        <w:t xml:space="preserve">  - **Target:** Achieve **30% reduction in energy consumption** by 2027.  </w:t>
        <w:br/>
        <w:t xml:space="preserve">- **Community Engagement Programs:**  </w:t>
        <w:br/>
        <w:t xml:space="preserve">  - **Description:** Launch initiatives to support local communities, such as skill development programs and infrastructure projects.  </w:t>
        <w:br/>
        <w:t xml:space="preserve">  - **Target:** Impact **10,000 individuals** through community programs by 2026.  </w:t>
        <w:br/>
        <w:br/>
        <w:t>By implementing these strategic initiatives, Nasr can enhance its operational efficiency, strengthen its financial position, expand its market presence, and reinforce its commitment to sustainability, ensuring long-term growth and competitiveness in the metallurgical industry.</w:t>
      </w:r>
    </w:p>
    <w:p>
      <w:pPr>
        <w:pStyle w:val="Heading1"/>
      </w:pPr>
      <w:r>
        <w:t>6. Conclusion</w:t>
      </w:r>
    </w:p>
    <w:p>
      <w:r>
        <w:t>**Section 6: Conclusion**</w:t>
        <w:br/>
        <w:br/>
        <w:t xml:space="preserve">**Summary of Current Situation:**  </w:t>
        <w:br/>
        <w:t xml:space="preserve">Nasr, a leading Egyptian industrial conglomerate, has demonstrated resilience with steady revenue growth, operational efficiency improvements, and strategic initiatives in sustainable manufacturing. However, the company faces challenges such as technological obsolescence, supply chain disruptions, and competitive pressures, exacerbated by financial inefficiencies including high debt and negative working capital.  </w:t>
        <w:br/>
        <w:br/>
        <w:t xml:space="preserve">**Key Challenges:**  </w:t>
        <w:br/>
        <w:t xml:space="preserve">- Technological gaps and supply chain vulnerabilities.  </w:t>
        <w:br/>
        <w:t xml:space="preserve">- High debt burden and liquidity constraints.  </w:t>
        <w:br/>
        <w:t xml:space="preserve">- Intense market competition and limited export presence.  </w:t>
        <w:br/>
        <w:br/>
        <w:t xml:space="preserve">**Strategic Opportunities:**  </w:t>
        <w:br/>
        <w:t xml:space="preserve">- Leverage Egypt’s Vision 2030 and metallurgical industry growth.  </w:t>
        <w:br/>
        <w:t xml:space="preserve">- Expand into high-value and sustainable product lines.  </w:t>
        <w:br/>
        <w:t xml:space="preserve">- Strengthen export capabilities and strategic partnerships.  </w:t>
        <w:br/>
        <w:br/>
        <w:t xml:space="preserve">**Recommendations:**  </w:t>
        <w:br/>
        <w:br/>
        <w:t xml:space="preserve">**1. **Restructure: Debt Refinancing and Asset Monetization**  </w:t>
        <w:br/>
        <w:t xml:space="preserve">Refinance high-interest debt and monetize underutilized assets to reduce financial risk and improve liquidity.  </w:t>
        <w:br/>
        <w:br/>
        <w:t xml:space="preserve">**2. **Invest: Industry 4.0 Technologies and Workforce Upskilling**  </w:t>
        <w:br/>
        <w:t xml:space="preserve">Invest in advanced technologies and employee training to enhance production efficiency and competitiveness.  </w:t>
        <w:br/>
        <w:br/>
        <w:t xml:space="preserve">**3. **Strategic Adjustments: Supply Chain Diversification and Export Expansion**  </w:t>
        <w:br/>
        <w:t xml:space="preserve">Diversify supplier networks and establish dedicated export divisions to mitigate risks and access global markets.  </w:t>
        <w:br/>
        <w:br/>
        <w:t xml:space="preserve">**4. **Strategic Adjustments: Sustainable Product Development**  </w:t>
        <w:br/>
        <w:t xml:space="preserve">Launch eco-friendly metallurgical products to align with global sustainability trends and capture niche markets.  </w:t>
        <w:br/>
        <w:br/>
        <w:t xml:space="preserve">**Final Strategic Recommendation:**  </w:t>
        <w:br/>
        <w:t>Nasr should prioritize financial restructuring to strengthen its balance sheet, invest in technological and workforce upgrades to enhance operational efficiency, and focus on market expansion through sustainable product development and strategic partnerships, ensuring long-term growth and competitiveness in the metallurgical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