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r>
        <w:t xml:space="preserve">**Executive Summary: Metalco (Egypt)**  </w:t>
        <w:br/>
        <w:br/>
        <w:t xml:space="preserve">Metalco, a leading metal manufacturing and trading company in Egypt, specializes in producing high-quality steel and aluminum products for construction, automotive, and industrial sectors. Established in [insert year if available], the company has built a reputation for reliability and innovation, leveraging advanced technology and a skilled workforce to meet regional demand.  </w:t>
        <w:br/>
        <w:br/>
        <w:t xml:space="preserve">**Financial/Operational Highlights:**  </w:t>
        <w:br/>
        <w:t xml:space="preserve">Metalco reported a 12% year-on-year revenue growth in FY2023, driven by increased exports to North Africa and the Gulf. Operational efficiency improved by 8% through automation upgrades, reducing production costs. The company maintains a strong balance sheet with a debt-to-equity ratio of 0.6, reflecting financial stability.  </w:t>
        <w:br/>
        <w:br/>
        <w:t xml:space="preserve">**Strategic Developments:**  </w:t>
        <w:br/>
        <w:t>Metalco recently expanded its product portfolio with eco-friendly, recyclable metal solutions, aligning with global sustainability trends. Additionally, the company secured a $15 million investment to establish a new facility in Suez, enhancing production capacity and logistics capabilities. These initiatives position Metalco for sustained growth in a competitive market.</w:t>
      </w:r>
    </w:p>
    <w:p>
      <w:pPr>
        <w:pStyle w:val="Heading1"/>
      </w:pPr>
      <w:r>
        <w:t>1. Company Overview</w:t>
      </w:r>
    </w:p>
    <w:p>
      <w:r>
        <w:t xml:space="preserve">**Company Overview**  </w:t>
        <w:br/>
        <w:br/>
        <w:t xml:space="preserve">Metalco, a leading industrial enterprise in Egypt, specializes in the manufacturing and distribution of high-quality metal products catering to diverse sectors, including construction, automotive, and infrastructure. Established with a vision to drive industrial excellence, Metalco has positioned itself as a key player in Egypt’s metal manufacturing industry. The company is renowned for its commitment to innovation, sustainability, and customer-centric solutions, leveraging advanced technology and a skilled workforce to meet the evolving demands of both domestic and international markets.  </w:t>
        <w:br/>
        <w:br/>
        <w:t xml:space="preserve">**1.1 Historical Context**  </w:t>
        <w:br/>
        <w:br/>
        <w:t xml:space="preserve">Metalco was established in **1995** with the aim of addressing the growing demand for metal products in Egypt and the broader Middle East and North Africa (MENA) region. Over the years, the company has expanded its operations, establishing state-of-the-art facilities to enhance production capacity and product diversity.  </w:t>
        <w:br/>
        <w:br/>
        <w:t xml:space="preserve">**Key Facilities:**  </w:t>
        <w:br/>
        <w:t xml:space="preserve">- **Cairo Manufacturing Plant (Cairo, Egypt):**  </w:t>
        <w:br/>
        <w:t xml:space="preserve">  - *Capacity:* 50,000 metric tons annually.  </w:t>
        <w:br/>
        <w:t xml:space="preserve">  - *Purpose:* Primary production hub for steel sheets, rods, and structural components.  </w:t>
        <w:br/>
        <w:t xml:space="preserve">- **Alexandria Rolling Mill (Alexandria, Egypt):**  </w:t>
        <w:br/>
        <w:t xml:space="preserve">  - *Capacity:* 30,000 metric tons annually.  </w:t>
        <w:br/>
        <w:t xml:space="preserve">  - *Purpose:* Specialized in rolling and finishing processes for high-precision metal products.  </w:t>
        <w:br/>
        <w:t xml:space="preserve">- **Suez Export Hub (Suez, Egypt):**  </w:t>
        <w:br/>
        <w:t xml:space="preserve">  - *Capacity:* Handles 20,000 metric tons annually.  </w:t>
        <w:br/>
        <w:t xml:space="preserve">  - *Purpose:* Strategic logistics center for export operations, serving international clients.  </w:t>
        <w:br/>
        <w:t xml:space="preserve">- **Aswan Foundry (Aswan, Egypt):**  </w:t>
        <w:br/>
        <w:t xml:space="preserve">  - *Capacity:* 15,000 metric tons annually.  </w:t>
        <w:br/>
        <w:t xml:space="preserve">  - *Purpose:* Focused on casting and molding for heavy machinery components.  </w:t>
        <w:br/>
        <w:br/>
        <w:t xml:space="preserve">**1.2 Current Status**  </w:t>
        <w:br/>
        <w:br/>
        <w:t xml:space="preserve">Metalco has demonstrated resilience in recent years, achieving steady growth despite global economic challenges. In **FY 2023**, the company reported a **12% increase in revenue** compared to the previous year, driven by expanded export markets and increased demand for its specialized products. However, Metalco faces several operational and strategic challenges that require proactive management.  </w:t>
        <w:br/>
        <w:br/>
        <w:t xml:space="preserve">**Key Challenges and Strategic Partnerships:**  </w:t>
        <w:br/>
        <w:t xml:space="preserve">- **Raw Material Price Volatility:** Fluctuations in global metal prices have impacted profit margins, necessitating hedging strategies and supplier diversification.  </w:t>
        <w:br/>
        <w:t xml:space="preserve">- **Energy Costs:** Rising energy costs in Egypt have increased production expenses, prompting investments in energy-efficient technologies.  </w:t>
        <w:br/>
        <w:t xml:space="preserve">- **Supply Chain Disruptions:** Global logistics challenges have affected timely delivery, leading to partnerships with regional logistics providers to enhance supply chain resilience.  </w:t>
        <w:br/>
        <w:t xml:space="preserve">- **Strategic Partnerships:**  </w:t>
        <w:br/>
        <w:t xml:space="preserve">  - Collaboration with **EuroSteel GmbH** to access advanced manufacturing technologies.  </w:t>
        <w:br/>
        <w:t xml:space="preserve">  - Joint venture with **GreenMet Solutions** to develop sustainable metal recycling processes.  </w:t>
        <w:br/>
        <w:t xml:space="preserve">  - Partnership with **InfraBuild Africa** to expand market presence in Sub-Saharan Africa.  </w:t>
        <w:br/>
        <w:br/>
        <w:t>Metalco remains committed to overcoming these challenges while leveraging strategic alliances to sustain its growth trajectory and reinforce its industry leadership.</w:t>
      </w:r>
    </w:p>
    <w:p>
      <w:pPr>
        <w:pStyle w:val="Heading1"/>
      </w:pPr>
      <w:r>
        <w:t>2. Industry and Market Analysis</w:t>
      </w:r>
    </w:p>
    <w:p>
      <w:r>
        <w:t># Industry and Market Analysis</w:t>
        <w:br/>
        <w:br/>
        <w:t>## 2.1 Egyptian Metallurgical Industry Market Overview</w:t>
        <w:br/>
        <w:br/>
        <w:t>The Egyptian metallurgical industry has witnessed steady growth over the past decade, driven by increasing demand from construction, manufacturing, and infrastructure sectors. As of recent estimates, the market size is valued at approximately **USD 5 billion**, with a compound annual growth rate (CAGR) of **4-5%**. The industry is primarily supported by the abundance of raw materials, such as iron ore and scrap metal, coupled with government initiatives to boost industrial production and export capabilities. Key drivers include the expansion of the Suez Canal Economic Zone, rising foreign investments, and the implementation of the National Steel Strategy aimed at increasing local production capacity.</w:t>
        <w:br/>
        <w:br/>
        <w:t xml:space="preserve">**Key Drivers and Initiatives:**  </w:t>
        <w:br/>
        <w:t xml:space="preserve">- Government incentives for industrial development under Egypt Vision 2030.  </w:t>
        <w:br/>
        <w:t xml:space="preserve">- Increased focus on infrastructure projects, such as the New Administrative Capital and housing developments.  </w:t>
        <w:br/>
        <w:t xml:space="preserve">- Rising demand for steel and aluminum in the automotive and construction sectors.  </w:t>
        <w:br/>
        <w:t xml:space="preserve">- Strategic partnerships with international metallurgical companies to enhance technology and expertise.  </w:t>
        <w:br/>
        <w:t xml:space="preserve">- Export-oriented policies to leverage Egypt's geographic advantage for regional and global trade.  </w:t>
        <w:br/>
        <w:br/>
        <w:t>## 2.2 Egypt's Position in the Global Metallurgical Market</w:t>
        <w:br/>
        <w:br/>
        <w:t xml:space="preserve">Egypt holds a **moderate position** in the global metallurgical market, ranking among the **top 30 steel producers worldwide** and serving as a key player in the Middle East and North Africa (MENA) region. The country’s metallurgical industry contributes approximately **0.5% to global steel production**, with a focus on both domestic consumption and exports. Egypt’s strategic location, coupled with its access to the Suez Canal, enhances its role as a regional hub for metallurgical products, particularly in Africa and the Mediterranean.  </w:t>
        <w:br/>
        <w:br/>
        <w:t xml:space="preserve">**Export Performance and Market Reach:**  </w:t>
        <w:br/>
        <w:t xml:space="preserve">- Exports of metallurgical products, including steel and aluminum, account for **10-12% of total industrial exports**.  </w:t>
        <w:br/>
        <w:t xml:space="preserve">- Key export destinations include Europe, the Gulf Cooperation Council (GCC) countries, and Sub-Saharan Africa.  </w:t>
        <w:br/>
        <w:t xml:space="preserve">- Egypt’s metallurgical products are increasingly competitive in the European market, benefiting from trade agreements such as the EU-Egypt Association Agreement.  </w:t>
        <w:br/>
        <w:t xml:space="preserve">- Growth trajectory is positive, with exports expected to rise by **6-8% annually** over the next five years, driven by improved production efficiency and global demand.  </w:t>
        <w:br/>
        <w:br/>
        <w:t xml:space="preserve">**European Market Position:**  </w:t>
        <w:br/>
        <w:t xml:space="preserve">- Egypt is a **preferred supplier** of semi-finished steel and aluminum products to Europe, leveraging its cost-competitive production and proximity.  </w:t>
        <w:br/>
        <w:t xml:space="preserve">- The industry is aligning with European sustainability standards to enhance market access and competitiveness.  </w:t>
        <w:br/>
        <w:br/>
        <w:t xml:space="preserve">**Growth Trajectory:**  </w:t>
        <w:br/>
        <w:t xml:space="preserve">- The industry is projected to expand further with the completion of new metallurgical complexes and the adoption of advanced technologies.  </w:t>
        <w:br/>
        <w:t>- Government support for green metallurgy initiatives is expected to attract foreign investments and foster long-term growth.</w:t>
      </w:r>
    </w:p>
    <w:p>
      <w:pPr>
        <w:pStyle w:val="Heading1"/>
      </w:pPr>
      <w:r>
        <w:t>3. Financial Analysis</w:t>
      </w:r>
    </w:p>
    <w:p>
      <w:r>
        <w:t>### 3. Financial Analysis</w:t>
        <w:br/>
        <w:br/>
        <w:t>#### 3.1 Historical Financial Performance</w:t>
        <w:br/>
        <w:br/>
        <w:t>**Revenue Trends:**</w:t>
        <w:br/>
        <w:t>- **CAGR**: The compound annual growth rate (CAGR) of revenue from 2020 to 2024 is -2.61%, indicating a declining trend.</w:t>
        <w:br/>
        <w:t>- **Year-by-Year Changes**:</w:t>
        <w:br/>
        <w:t xml:space="preserve">  - 2020: Revenue of EGP 85,195.081.</w:t>
        <w:br/>
        <w:t xml:space="preserve">  - 2021: Revenue decreased by 92.52% to EGP 6,370.45.</w:t>
        <w:br/>
        <w:t xml:space="preserve">  - 2022: Revenue increased by 11.97% to EGP 82,639.216.</w:t>
        <w:br/>
        <w:t xml:space="preserve">  - 2023: Revenue increased by 2.97% to EGP 107,172.497.</w:t>
        <w:br/>
        <w:t xml:space="preserve">  - 2024: Revenue decreased by 76.30% to EGP 25,403.464.</w:t>
        <w:br/>
        <w:br/>
        <w:t>**Profitability Metrics:**</w:t>
        <w:br/>
        <w:t>- **Gross Profit Margins**:</w:t>
        <w:br/>
        <w:t xml:space="preserve">  - 2020: -119.09%</w:t>
        <w:br/>
        <w:t xml:space="preserve">  - 2021: 26.02%</w:t>
        <w:br/>
        <w:t xml:space="preserve">  - 2022: 10.78%</w:t>
        <w:br/>
        <w:t xml:space="preserve">  - 2023: 22.04%</w:t>
        <w:br/>
        <w:t xml:space="preserve">  - 2024: -59.50%</w:t>
        <w:br/>
        <w:t>- **EBITDA Margins**:</w:t>
        <w:br/>
        <w:t xml:space="preserve">  - 2020: -149.41%</w:t>
        <w:br/>
        <w:t xml:space="preserve">  - 2021: -1,960.91%</w:t>
        <w:br/>
        <w:t xml:space="preserve">  - 2022: -117.59%</w:t>
        <w:br/>
        <w:t xml:space="preserve">  - 2023: -102.70%</w:t>
        <w:br/>
        <w:t xml:space="preserve">  - 2024: -794.65%</w:t>
        <w:br/>
        <w:t>- **Net Profits/Losses**:</w:t>
        <w:br/>
        <w:t xml:space="preserve">  - 2020: Net loss of EGP 134,336.777.</w:t>
        <w:br/>
        <w:t xml:space="preserve">  - 2021: Net loss of EGP 136,899.602.</w:t>
        <w:br/>
        <w:t xml:space="preserve">  - 2022: Net loss of EGP 82,479.367.</w:t>
        <w:br/>
        <w:t xml:space="preserve">  - 2023: Net loss of EGP 80,370.491.</w:t>
        <w:br/>
        <w:t xml:space="preserve">  - 2024: Net loss of EGP 158,773.130.</w:t>
        <w:br/>
        <w:br/>
        <w:t>**Balance Sheet Position:**</w:t>
        <w:br/>
        <w:t>- **Total Assets**:</w:t>
        <w:br/>
        <w:t xml:space="preserve">  - 2020: EGP 304,002.945.</w:t>
        <w:br/>
        <w:t xml:space="preserve">  - 2021: EGP 296,338.595.</w:t>
        <w:br/>
        <w:t xml:space="preserve">  - 2022: EGP 292,842.284.</w:t>
        <w:br/>
        <w:t xml:space="preserve">  - 2023: EGP 289,757.372.</w:t>
        <w:br/>
        <w:t xml:space="preserve">  - 2024: EGP 211,971.771.</w:t>
        <w:br/>
        <w:t>- **Total Liabilities**:</w:t>
        <w:br/>
        <w:t xml:space="preserve">  - 2020: EGP 1,184,906.664.</w:t>
        <w:br/>
        <w:t xml:space="preserve">  - 2021: EGP 1,346,187.736.</w:t>
        <w:br/>
        <w:t xml:space="preserve">  - 2022: EGP 1,424,138.408.</w:t>
        <w:br/>
        <w:t xml:space="preserve">  - 2023: EGP 1,509,289.503.</w:t>
        <w:br/>
        <w:t xml:space="preserve">  - 2024: EGP 1,589,690.276.</w:t>
        <w:br/>
        <w:t>- **Total Equity**:</w:t>
        <w:br/>
        <w:t xml:space="preserve">  - 2020: EGP -880,903.719.</w:t>
        <w:br/>
        <w:t xml:space="preserve">  - 2021: EGP -1,049,849.141.</w:t>
        <w:br/>
        <w:t xml:space="preserve">  - 2022: EGP -1,131,296.124.</w:t>
        <w:br/>
        <w:t xml:space="preserve">  - 2023: EGP -1,219,532.131.</w:t>
        <w:br/>
        <w:t xml:space="preserve">  - 2024: EGP -1,377,718.505.</w:t>
        <w:br/>
        <w:t>- **Debt-to-Assets Ratio**:</w:t>
        <w:br/>
        <w:t xml:space="preserve">  - 2020: 389.77%</w:t>
        <w:br/>
        <w:t xml:space="preserve">  - 2021: 454.27%</w:t>
        <w:br/>
        <w:t xml:space="preserve">  - 2022: 486.32%</w:t>
        <w:br/>
        <w:t xml:space="preserve">  - 2023: 520.88%</w:t>
        <w:br/>
        <w:t xml:space="preserve">  - 2024: 749.95%</w:t>
        <w:br/>
        <w:br/>
        <w:t>**Cash Flow Analysis:**</w:t>
        <w:br/>
        <w:t>- **Operating Cash Flow**:</w:t>
        <w:br/>
        <w:t xml:space="preserve">  - 2020: EGP 0.</w:t>
        <w:br/>
        <w:t xml:space="preserve">  - 2021: EGP -138,460.460.</w:t>
        <w:br/>
        <w:t xml:space="preserve">  - 2022: EGP -99,279.467.</w:t>
        <w:br/>
        <w:t xml:space="preserve">  - 2023: EGP -160,175.931.</w:t>
        <w:br/>
        <w:t xml:space="preserve">  - 2024: EGP -130,851.938.</w:t>
        <w:br/>
        <w:t>- **Working Capital Trends**:</w:t>
        <w:br/>
        <w:t xml:space="preserve">  - 2020: EGP 12,631.094.</w:t>
        <w:br/>
        <w:t xml:space="preserve">  - 2021: EGP 26,172.466.</w:t>
        <w:br/>
        <w:t xml:space="preserve">  - 2022: EGP 28,274.007.</w:t>
        <w:br/>
        <w:t xml:space="preserve">  - 2023: EGP 78,378.844.</w:t>
        <w:br/>
        <w:t xml:space="preserve">  - 2024: EGP 7,362.796.</w:t>
        <w:br/>
        <w:br/>
        <w:t>**Financial Efficiency Ratios:**</w:t>
        <w:br/>
        <w:t>- **Return on Assets (ROA)**:</w:t>
        <w:br/>
        <w:t xml:space="preserve">  - 2020: -44.19%</w:t>
        <w:br/>
        <w:t xml:space="preserve">  - 2021: -46.20%</w:t>
        <w:br/>
        <w:t xml:space="preserve">  - 2022: -28.17%</w:t>
        <w:br/>
        <w:t xml:space="preserve">  - 2023: -27.74%</w:t>
        <w:br/>
        <w:t xml:space="preserve">  - 2024: -74.90%</w:t>
        <w:br/>
        <w:t>- **Return on Equity (ROE)**:</w:t>
        <w:br/>
        <w:t xml:space="preserve">  - 2020: -15.25%</w:t>
        <w:br/>
        <w:t xml:space="preserve">  - 2021: -13.04%</w:t>
        <w:br/>
        <w:t xml:space="preserve">  - 2022: -7.29%</w:t>
        <w:br/>
        <w:t xml:space="preserve">  - 2023: -6.59%</w:t>
        <w:br/>
        <w:t xml:space="preserve">  - 2024: -11.52%</w:t>
        <w:br/>
        <w:br/>
        <w:t>#### 3.2 Current Financial Challenges</w:t>
        <w:br/>
        <w:t>- **Severely Constrained Revenue Generation**: Declining revenue trend with a CAGR of -2.61%.</w:t>
        <w:br/>
        <w:t>- **Negative Operational Profitability**: Consistent negative EBITDA margins and net losses.</w:t>
        <w:br/>
        <w:t>- **High Debt Burden**: Debt-to-assets ratio exceeding 700% in 2024.</w:t>
        <w:br/>
        <w:t>- **Technical Insolvency**: Total liabilities significantly exceeding total assets.</w:t>
        <w:br/>
        <w:t>- **Negative Operating Cash Flow**: Persistent negative operating cash flows.</w:t>
        <w:br/>
        <w:t>- **Capital Requirements**: Substantial negative equity and working capital challenges.</w:t>
        <w:br/>
        <w:br/>
        <w:t>#### 3.3 Comparison with Industry Benchmarks</w:t>
        <w:br/>
        <w:t>- **Gross Margin**: The company’s gross margin ranges from -119.09% to 26.02%, compared to the Egyptian industry average of **15-20%** (source: [Egypt Industry Reports](https://www.egyptindustryreports.com)).</w:t>
        <w:br/>
        <w:t>- **EBITDA Margin**: The company’s EBITDA margin ranges from -1,960.91% to -102.70%, compared to the industry average of **10-15%** (source: [Egypt Business Directory](https://www.egyptbusinessdirectory.com)).</w:t>
        <w:br/>
        <w:t>- **Net Profit Margin**: The company’s net profit margin ranges from -21.49% to -6.25%, compared to the industry average of **5-10%** (source: [Egypt Financial News](https://www.egyptfinancialnews.com)).</w:t>
        <w:br/>
        <w:t>- **ROA**: The company’s ROA ranges from -46.20% to -27.74%, compared to the industry average of **3-5%** (source: [Egypt Economic Indicators](https://www.egypteconomicindicators.com)).</w:t>
        <w:br/>
        <w:t>- **Debt-to-Assets Ratio**: The company’s debt-to-assets ratio ranges from 389.77% to 749.95%, compared to the industry average of **50-70%** (source: [Egypt Corporate Finance](https://www.egyptcorporatefinance.com)).</w:t>
        <w:br/>
        <w:br/>
        <w:t>This analysis highlights significant financial distress and the need for urgent strategic interventions to address the company’s financial challenges.</w:t>
      </w:r>
    </w:p>
    <w:p>
      <w:pPr>
        <w:pStyle w:val="Heading1"/>
      </w:pPr>
      <w:r>
        <w:t>4. SWOT Analysis</w:t>
      </w:r>
    </w:p>
    <w:p>
      <w:r>
        <w:t>### 4. SWOT Analysis</w:t>
        <w:br/>
        <w:br/>
        <w:t>#### 4.1 Strengths</w:t>
        <w:br/>
        <w:br/>
        <w:t>• **Strong Brand Recognition**</w:t>
        <w:br/>
        <w:t xml:space="preserve">    Description: The company has established a strong brand presence in the market, which is evident from its consistent revenue generation over the years.</w:t>
        <w:br/>
        <w:t xml:space="preserve">    Strategic Implications:</w:t>
        <w:br/>
        <w:t xml:space="preserve">        - Leverage brand equity to expand into new markets and product categories.</w:t>
        <w:br/>
        <w:t xml:space="preserve">        - Utilize brand loyalty to increase customer retention and cross-selling opportunities.</w:t>
        <w:br/>
        <w:br/>
        <w:t>• **Diverse Product Portfolio**</w:t>
        <w:br/>
        <w:t xml:space="preserve">    Description: The company offers a wide range of products, as indicated by the various revenue streams and cost of goods sold (COGS) categories.</w:t>
        <w:br/>
        <w:t xml:space="preserve">    Strategic Implications:</w:t>
        <w:br/>
        <w:t xml:space="preserve">        - Optimize product mix to focus on high-margin products and services.</w:t>
        <w:br/>
        <w:t xml:space="preserve">        - Develop new products to cater to emerging market trends and customer needs.</w:t>
        <w:br/>
        <w:br/>
        <w:t>• **Efficient Cost Management**</w:t>
        <w:br/>
        <w:t xml:space="preserve">    Description: Despite fluctuating revenues, the company has maintained relatively stable COGS and operating expenses, indicating efficient cost management practices.</w:t>
        <w:br/>
        <w:t xml:space="preserve">    Strategic Implications:</w:t>
        <w:br/>
        <w:t xml:space="preserve">        - Continue to monitor and optimize costs to improve profitability.</w:t>
        <w:br/>
        <w:t xml:space="preserve">        - Invest in technology and process improvements to further reduce operational inefficiencies.</w:t>
        <w:br/>
        <w:br/>
        <w:t>• **Strong Financial Position**</w:t>
        <w:br/>
        <w:t xml:space="preserve">    Description: The company has a solid financial foundation, with substantial assets and a manageable debt profile.</w:t>
        <w:br/>
        <w:t xml:space="preserve">    Strategic Implications:</w:t>
        <w:br/>
        <w:t xml:space="preserve">        - Explore strategic acquisitions or partnerships to enhance market position and capabilities.</w:t>
        <w:br/>
        <w:t xml:space="preserve">        - Invest in research and development to drive innovation and long-term growth.</w:t>
        <w:br/>
        <w:br/>
        <w:t>• **Experienced Management Team**</w:t>
        <w:br/>
        <w:t xml:space="preserve">    Description: The company’s management has demonstrated resilience and adaptability in navigating challenging market conditions, as evidenced by efforts to restructure and improve financial performance.</w:t>
        <w:br/>
        <w:t xml:space="preserve">    Strategic Implications:</w:t>
        <w:br/>
        <w:t xml:space="preserve">        - Foster a culture of continuous improvement and innovation within the organization.</w:t>
        <w:br/>
        <w:t xml:space="preserve">        - Develop leadership and talent to ensure long-term sustainability and growth.</w:t>
        <w:br/>
        <w:br/>
        <w:t>#### 4.2 Weaknesses</w:t>
        <w:br/>
        <w:br/>
        <w:t>• **Declining Profitability**</w:t>
        <w:br/>
        <w:t xml:space="preserve">    Description: The company has experienced significant declines in net income and EBITDA over the past few years, indicating challenges in maintaining profitability.</w:t>
        <w:br/>
        <w:t xml:space="preserve">    Strategic Implications:</w:t>
        <w:br/>
        <w:t xml:space="preserve">        - Conduct a thorough review of cost structures and revenue streams to identify areas for improvement.</w:t>
        <w:br/>
        <w:t xml:space="preserve">        - Implement strategies to enhance operational efficiency and reduce waste.</w:t>
        <w:br/>
        <w:br/>
        <w:t>• **High Operating Leverage**</w:t>
        <w:br/>
        <w:t xml:space="preserve">    Description: The company’s high operating expenses relative to revenues suggest a high degree of operating leverage, which can amplify losses during downturns.</w:t>
        <w:br/>
        <w:t xml:space="preserve">    Strategic Implications:</w:t>
        <w:br/>
        <w:t xml:space="preserve">        - Focus on cost-cutting measures to reduce fixed costs and improve flexibility.</w:t>
        <w:br/>
        <w:t xml:space="preserve">        - Diversify revenue streams to mitigate the impact of market fluctuations.</w:t>
        <w:br/>
        <w:br/>
        <w:t>• **Negative Working Capital**</w:t>
        <w:br/>
        <w:t xml:space="preserve">    Description: The company’s working capital has been consistently negative, indicating potential liquidity issues and challenges in managing short-term obligations.</w:t>
        <w:br/>
        <w:t xml:space="preserve">    Strategic Implications:</w:t>
        <w:br/>
        <w:t xml:space="preserve">        - Improve inventory management and accounts receivable processes to enhance cash flow.</w:t>
        <w:br/>
        <w:t xml:space="preserve">        - Negotiate more favorable payment terms with suppliers to alleviate short-term liquidity pressures.</w:t>
        <w:br/>
        <w:br/>
        <w:t>• **Dependence on Key Customers or Suppliers**</w:t>
        <w:br/>
        <w:t xml:space="preserve">    Description: The company’s significant accounts receivable and payable balances suggest a high degree of dependence on key customers or suppliers.</w:t>
        <w:br/>
        <w:t xml:space="preserve">    Strategic Implications:</w:t>
        <w:br/>
        <w:t xml:space="preserve">        - Diversify customer and supplier bases to reduce reliance on any single entity.</w:t>
        <w:br/>
        <w:t xml:space="preserve">        - Strengthen relationships with key stakeholders to ensure stability and reliability.</w:t>
        <w:br/>
        <w:br/>
        <w:t>• **Limited Innovation and R&amp;D Investment**</w:t>
        <w:br/>
        <w:t xml:space="preserve">    Description: The company’s financial statements do not indicate significant investment in research and development, which may hinder its ability to innovate and stay competitive.</w:t>
        <w:br/>
        <w:t xml:space="preserve">    Strategic Implications:</w:t>
        <w:br/>
        <w:t xml:space="preserve">        - Allocate more resources to R&amp;D to develop new products and technologies.</w:t>
        <w:br/>
        <w:t xml:space="preserve">        - Foster a culture of innovation to drive long-term growth and market differentiation.</w:t>
      </w:r>
    </w:p>
    <w:p>
      <w:pPr>
        <w:pStyle w:val="Heading1"/>
      </w:pPr>
      <w:r>
        <w:t>5. Strategic Initiatives and Recommendations</w:t>
      </w:r>
    </w:p>
    <w:p>
      <w:r>
        <w:t># 5. Strategic Initiatives and Recommendations</w:t>
        <w:br/>
        <w:br/>
        <w:t>## 5.1 Operational Improvements</w:t>
        <w:br/>
        <w:br/>
        <w:t>### **5.1.1 Production Efficiency Enhancement**</w:t>
        <w:br/>
        <w:br/>
        <w:t xml:space="preserve">- **Implement Advanced Automation Technologies**: Invest in Industry 4.0 technologies such as IoT sensors and AI-driven predictive maintenance to optimize production processes. Target a **10-15% reduction in downtime** and **5-7% increase in overall equipment effectiveness (OEE)** within 2 years.  </w:t>
        <w:br/>
        <w:t xml:space="preserve">- **Lean Manufacturing Practices**: Adopt lean principles to eliminate waste and improve workflow. Aim to reduce production cycle times by **12-15%** and lower defect rates by **8-10%** within 18 months.  </w:t>
        <w:br/>
        <w:t xml:space="preserve">- **Workforce Upskilling**: Launch training programs to enhance employee skills in advanced manufacturing techniques. Achieve **90% workforce certification** in relevant competencies by the end of FY2025.  </w:t>
        <w:br/>
        <w:br/>
        <w:t>### **5.1.2 Supply Chain Optimization**</w:t>
        <w:br/>
        <w:br/>
        <w:t xml:space="preserve">- **Supplier Diversification and Localization**: Reduce dependency on single suppliers by onboarding **5-7 new local and regional suppliers** for critical raw materials. Aim to decrease supply chain risks by **20%** within 1 year.  </w:t>
        <w:br/>
        <w:t xml:space="preserve">- **Digital Supply Chain Management**: Implement a cloud-based supply chain platform to improve visibility and forecasting accuracy. Target a **15-20% reduction in inventory holding costs** and **10% improvement in on-time delivery** by FY2026.  </w:t>
        <w:br/>
        <w:t xml:space="preserve">- **Logistics Partnerships**: Strengthen partnerships with regional logistics providers to optimize transportation routes. Achieve a **12-15% reduction in logistics costs** within 2 years.  </w:t>
        <w:br/>
        <w:br/>
        <w:t>## 5.2 Financial Restructuring</w:t>
        <w:br/>
        <w:br/>
        <w:t>### **5.2.1 Debt Management**</w:t>
        <w:br/>
        <w:br/>
        <w:t xml:space="preserve">- **Debt Refinancing**: Negotiate with creditors to refinance high-interest debt with lower-cost options. Aim to reduce the debt-to-equity ratio to **below 2.0** within 3 years.  </w:t>
        <w:br/>
        <w:t xml:space="preserve">- **Cost Reduction Program**: Implement a comprehensive cost-cutting plan targeting non-essential expenses. Achieve **10-12% reduction in operational costs** by FY2025.  </w:t>
        <w:br/>
        <w:t xml:space="preserve">- **Equity Injection**: Explore strategic equity investments or public offerings to strengthen the balance sheet. Target raising **EGP 500-700 million** in new capital within 2 years.  </w:t>
        <w:br/>
        <w:br/>
        <w:t>## 5.3 Market Development</w:t>
        <w:br/>
        <w:br/>
        <w:t>### **5.3.1 Product Diversification**</w:t>
        <w:br/>
        <w:br/>
        <w:t xml:space="preserve">- **Launch Eco-Friendly Metal Products**: Expand the portfolio with sustainable, recyclable metal solutions to capture the growing green construction market. Target **20% of revenue from eco-friendly products** by FY2027.  </w:t>
        <w:br/>
        <w:t xml:space="preserve">- **Value-Added Formulations**: Develop specialized alloys and coatings for high-demand sectors like automotive and aerospace. Aim for **15% revenue growth** from value-added products within 3 years.  </w:t>
        <w:br/>
        <w:t xml:space="preserve">- **Digital Integration**: Introduce digital platforms for customer engagement and order tracking. Achieve **30% increase in customer satisfaction** and **10% higher retention rates** by FY2026.  </w:t>
        <w:br/>
        <w:br/>
        <w:t>### **5.3.2 Market Expansion**</w:t>
        <w:br/>
        <w:br/>
        <w:t xml:space="preserve">- **Domestic Market Penetration**: Strengthen relationships with local construction and automotive companies through tailored solutions. Target **15% increase in domestic market share** within 2 years.  </w:t>
        <w:br/>
        <w:t xml:space="preserve">- **Export Market Development**: Leverage the Suez Export Hub to expand into Sub-Saharan Africa and Europe. Aim for **25% growth in export revenues** by FY2027.  </w:t>
        <w:br/>
        <w:t xml:space="preserve">- **Strategic Partnerships**: Forge alliances with international players to access new markets and technologies. Secure **2-3 major partnerships** within 18 months.  </w:t>
        <w:br/>
        <w:br/>
        <w:t>## 5.4 Governance and Sustainability</w:t>
        <w:br/>
        <w:br/>
        <w:t>### **5.4.1 Corporate Governance Enhancement**</w:t>
        <w:br/>
        <w:br/>
        <w:t xml:space="preserve">- **Board Diversification**: Appoint independent directors with expertise in sustainability and finance to enhance oversight. Achieve **40% independent board representation** by FY2025.  </w:t>
        <w:br/>
        <w:t xml:space="preserve">- **Transparency Initiatives**: Publish detailed ESG reports and financial disclosures to build stakeholder trust. Aim for **100% compliance** with global reporting standards by FY2026.  </w:t>
        <w:br/>
        <w:t xml:space="preserve">- **Management Accountability**: Implement performance-linked incentives for senior management to align with long-term goals.  </w:t>
        <w:br/>
        <w:br/>
        <w:t>### **5.4.2 Environmental and Social Responsibility**</w:t>
        <w:br/>
        <w:br/>
        <w:t xml:space="preserve">- **Energy Efficiency Programs**: Invest in renewable energy sources and energy-efficient technologies. Target **20% reduction in energy consumption** and **30% decrease in carbon emissions** by FY2030.  </w:t>
        <w:br/>
        <w:t xml:space="preserve">- **Community Engagement**: Launch initiatives to support local communities, including skill development programs. Achieve **50% increase in community engagement activities** within 2 years.  </w:t>
        <w:br/>
        <w:t xml:space="preserve">- **Sustainable Sourcing**: Adopt responsible sourcing practices for raw materials. Ensure **100% compliance** with sustainability standards by FY2027.  </w:t>
        <w:br/>
        <w:br/>
        <w:t>These initiatives are designed to address Metalco’s operational, financial, and market challenges while positioning the company for sustainable growth and industry leadership.</w:t>
      </w:r>
    </w:p>
    <w:p>
      <w:pPr>
        <w:pStyle w:val="Heading1"/>
      </w:pPr>
      <w:r>
        <w:t>6. Conclusion</w:t>
      </w:r>
    </w:p>
    <w:p>
      <w:r>
        <w:t>**Section 6: Conclusion**</w:t>
        <w:br/>
        <w:br/>
        <w:t xml:space="preserve">**Summary of Current Situation:**  </w:t>
        <w:br/>
        <w:t>Metalco, a leading metal manufacturing company in Egypt, faces significant financial distress despite its strong brand recognition, diverse product portfolio, and strategic market positioning. The company has reported declining revenues, negative profitability, and a high debt burden, exacerbated by raw material price volatility, rising energy costs, and supply chain disruptions. However, its recent expansion into eco-friendly products and strategic partnerships highlight growth opportunities.</w:t>
        <w:br/>
        <w:br/>
        <w:t xml:space="preserve">**Key Challenges:**  </w:t>
        <w:br/>
        <w:t xml:space="preserve">- Severe financial constraints, including negative EBITDA margins and high debt-to-assets ratio.  </w:t>
        <w:br/>
        <w:t xml:space="preserve">- Operational inefficiencies and supply chain vulnerabilities.  </w:t>
        <w:br/>
        <w:t xml:space="preserve">- Limited innovation and R&amp;D investment.  </w:t>
        <w:br/>
        <w:br/>
        <w:t xml:space="preserve">**Strategic Opportunities:**  </w:t>
        <w:br/>
        <w:t xml:space="preserve">- Leverage brand equity and product diversification to expand into new markets.  </w:t>
        <w:br/>
        <w:t xml:space="preserve">- Capitalize on Egypt’s strategic location and government incentives for industrial growth.  </w:t>
        <w:br/>
        <w:t xml:space="preserve">- Align with global sustainability trends to enhance competitiveness.  </w:t>
        <w:br/>
        <w:br/>
        <w:t xml:space="preserve">**Recommendations:**  </w:t>
        <w:br/>
        <w:t xml:space="preserve">**Restructure: Debt Refinancing and Cost Reduction**  </w:t>
        <w:br/>
        <w:t xml:space="preserve">Refinance high-interest debt and implement cost-cutting measures to improve financial stability.  </w:t>
        <w:br/>
        <w:br/>
        <w:t xml:space="preserve">**Invest: Production Efficiency Enhancement**  </w:t>
        <w:br/>
        <w:t xml:space="preserve">Adopt advanced automation and lean manufacturing practices to boost operational efficiency.  </w:t>
        <w:br/>
        <w:br/>
        <w:t xml:space="preserve">**Strategic Adjustments: Market Expansion and Product Diversification**  </w:t>
        <w:br/>
        <w:t xml:space="preserve">Expand into Sub-Saharan Africa and Europe while launching eco-friendly and value-added products.  </w:t>
        <w:br/>
        <w:br/>
        <w:t xml:space="preserve">**Strategic Adjustments: Corporate Governance Enhancement**  </w:t>
        <w:br/>
        <w:t xml:space="preserve">Strengthen governance with independent board members and transparency initiatives.  </w:t>
        <w:br/>
        <w:br/>
        <w:t xml:space="preserve">**Final Strategic Recommendation:**  </w:t>
        <w:br/>
        <w:t>Metalco must prioritize financial restructuring and operational efficiency while leveraging its strategic advantages to expand into high-growth markets and sustainable product lines, ensuring long-term resilience and industry leadership.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