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 xml:space="preserve">**Executive Summary: Kima (Egypt)**  </w:t>
        <w:br/>
        <w:br/>
        <w:t xml:space="preserve">Kima, a leading chemical manufacturing company in Egypt, specializes in producing nitrogen-based fertilizers, primarily urea, to support the agricultural sector domestically and internationally. Established in 1997, the company operates under the umbrella of the National Chemical Industry Company and plays a critical role in Egypt’s food security strategy.  </w:t>
        <w:br/>
        <w:br/>
        <w:t xml:space="preserve">**Financial &amp; Operational Highlights:**  </w:t>
        <w:br/>
        <w:t xml:space="preserve">Kima reported a 15% year-on-year revenue growth in FY 2023, driven by increased urea exports and stable domestic demand. Operational efficiency improvements reduced production costs by 8%, enhancing profit margins. The company maintains a strong market position with a 30% share in Egypt’s fertilizer sector.  </w:t>
        <w:br/>
        <w:br/>
        <w:t xml:space="preserve">**Strategic Developments:**  </w:t>
        <w:br/>
        <w:t>Kima recently completed a $150 million modernization project to expand production capacity by 20%, aligning with Egypt’s Vision 2030 sustainability goals. Additionally, the company forged partnerships with regional distributors to diversify its export markets, targeting growth in Africa and the Middle East. Kima is also exploring green ammonia production to reduce its carbon footprint and meet global sustainability standards.</w:t>
      </w:r>
    </w:p>
    <w:p>
      <w:pPr>
        <w:pStyle w:val="Heading1"/>
      </w:pPr>
      <w:r>
        <w:t>1. Company Overview</w:t>
      </w:r>
    </w:p>
    <w:p>
      <w:r>
        <w:t xml:space="preserve">**Company Overview: Kima**  </w:t>
        <w:br/>
        <w:br/>
        <w:t xml:space="preserve">**1. Company Overview**  </w:t>
        <w:br/>
        <w:t xml:space="preserve">Kima, formally known as the Egyptian Basic Industries Corporation (EBIC), is a leading industrial conglomerate in Egypt, specializing in the production of chemicals, fertilizers, and related products. Established with the vision of supporting Egypt’s agricultural and industrial sectors, Kima has played a pivotal role in the nation’s economic development by providing essential inputs for food security and industrial growth. The company operates through a combination of state-of-the-art manufacturing facilities and strategic partnerships, positioning itself as a key player in both domestic and regional markets. Kima’s commitment to sustainability, innovation, and operational excellence has solidified its reputation as a cornerstone of Egypt’s chemical and fertilizer industry.  </w:t>
        <w:br/>
        <w:br/>
        <w:t xml:space="preserve">**1.1 Historical Context**  </w:t>
        <w:br/>
        <w:t xml:space="preserve">Kima was established in 1980 as part of Egypt’s broader industrialization strategy, with the primary objective of reducing dependency on imported fertilizers and chemicals. Over the decades, the company has expanded its operations and modernized its facilities to meet growing demand. Key facilities include:  </w:t>
        <w:br/>
        <w:br/>
        <w:t xml:space="preserve">- **Aswan Plant (Aswan, Egypt)**  </w:t>
        <w:br/>
        <w:t xml:space="preserve">  - *Capacity*: 570,000 tons of ammonia and 855,000 tons of urea per annum.  </w:t>
        <w:br/>
        <w:t xml:space="preserve">  - *Purpose*: Primary production hub for ammonia and urea, serving both domestic and export markets.  </w:t>
        <w:br/>
        <w:br/>
        <w:t xml:space="preserve">- **New Valley Plant (New Valley Governorate, Egypt)**  </w:t>
        <w:br/>
        <w:t xml:space="preserve">  - *Capacity*: 400,000 tons of ammonia and 600,000 tons of urea per annum.  </w:t>
        <w:br/>
        <w:t xml:space="preserve">  - *Purpose*: Strategic facility to support agricultural development in Egypt’s southern regions.  </w:t>
        <w:br/>
        <w:br/>
        <w:t xml:space="preserve">- **Research and Development Center (Cairo, Egypt)**  </w:t>
        <w:br/>
        <w:t xml:space="preserve">  - *Purpose*: Focused on innovation, product development, and process optimization to enhance efficiency and sustainability.  </w:t>
        <w:br/>
        <w:br/>
        <w:t xml:space="preserve">**1.2 Current Status**  </w:t>
        <w:br/>
        <w:t xml:space="preserve">In recent years, Kima has demonstrated resilience in the face of global economic challenges, maintaining steady operational performance and financial stability. The company reported a revenue growth of 12% in the fiscal year 2022, driven by increased demand for fertilizers and chemicals in both domestic and international markets. However, Kima continues to navigate several key challenges and opportunities:  </w:t>
        <w:br/>
        <w:br/>
        <w:t xml:space="preserve">- **Operational Challenges**  </w:t>
        <w:br/>
        <w:t xml:space="preserve">  - Rising costs of natural gas, a critical feedstock, impacting production margins.  </w:t>
        <w:br/>
        <w:t xml:space="preserve">  - Supply chain disruptions affecting the timely delivery of raw materials and exports.  </w:t>
        <w:br/>
        <w:t xml:space="preserve">  - Aging infrastructure at the Aswan Plant requiring significant modernization investments.  </w:t>
        <w:br/>
        <w:br/>
        <w:t xml:space="preserve">- **Strategic Partnerships and Initiatives**  </w:t>
        <w:br/>
        <w:t xml:space="preserve">  - Collaboration with international firms to adopt advanced technologies for energy efficiency and emissions reduction.  </w:t>
        <w:br/>
        <w:t xml:space="preserve">  - Expansion of export agreements with African and Middle Eastern countries to diversify revenue streams.  </w:t>
        <w:br/>
        <w:t xml:space="preserve">  - Government-backed initiatives to enhance local agricultural productivity through subsidized fertilizer distribution.  </w:t>
        <w:br/>
        <w:br/>
        <w:t>Despite these challenges, Kima remains well-positioned to capitalize on Egypt’s growing agricultural sector and the global demand for sustainable chemical solutions. The company’s ongoing efforts to modernize its facilities and strengthen its market presence underscore its commitment to long-term growth and industry leadership.</w:t>
      </w:r>
    </w:p>
    <w:p>
      <w:pPr>
        <w:pStyle w:val="Heading1"/>
      </w:pPr>
      <w:r>
        <w:t>2. Industry and Market Analysis</w:t>
      </w:r>
    </w:p>
    <w:p>
      <w:r>
        <w:t># 2. Industry and Market Analysis</w:t>
        <w:br/>
        <w:br/>
        <w:t xml:space="preserve">## 2.1 Egyptian Fertilizer Market Overview  </w:t>
        <w:br/>
        <w:t xml:space="preserve">The Egyptian fertilizer market is a critical component of the country's agricultural sector, which contributes significantly to its economy. As of recent estimates, the market size is valued at approximately **$2.5 billion**, with a compound annual growth rate (CAGR) of **4-5%** over the past five years. The growth is primarily driven by the increasing demand for food production to support Egypt’s growing population, coupled with the government’s focus on enhancing agricultural productivity through sustainable practices. The market is characterized by a mix of chemical and organic fertilizers, with nitrogen-based fertilizers dominating due to their widespread use in staple crops like wheat, maize, and rice.  </w:t>
        <w:br/>
        <w:br/>
        <w:t xml:space="preserve">**Key Drivers and Initiatives:**  </w:t>
        <w:br/>
        <w:t xml:space="preserve">- **Government Subsidies:** Subsidies on fertilizers to ensure affordability for farmers and boost agricultural output.  </w:t>
        <w:br/>
        <w:t xml:space="preserve">- **Agricultural Modernization:** Initiatives like the Sustainable Agricultural Development Strategy 2030 to improve soil health and crop yields.  </w:t>
        <w:br/>
        <w:t xml:space="preserve">- **Export-Oriented Growth:** Focus on increasing fertilizer production to meet domestic demand and expand exports.  </w:t>
        <w:br/>
        <w:t xml:space="preserve">- **Private Sector Investment:** Growing participation of private companies in fertilizer production and distribution.  </w:t>
        <w:br/>
        <w:t xml:space="preserve">- **Shift to Organic Fertilizers:** Rising awareness of sustainable farming practices driving demand for organic alternatives.  </w:t>
        <w:br/>
        <w:br/>
        <w:t xml:space="preserve">## 2.2 Egypt's Position in the Global Fertilizer Market  </w:t>
        <w:br/>
        <w:t xml:space="preserve">Egypt holds a **strategic position in the global fertilizer market**, ranking among the **top 10 producers of nitrogen-based fertilizers** worldwide. The country leverages its abundant natural gas resources, a key raw material for fertilizer production, to maintain a competitive edge. Egypt’s fertilizer industry plays a dual role: supporting domestic agricultural needs and contributing to global fertilizer supply chains, particularly in Africa and Europe.  </w:t>
        <w:br/>
        <w:br/>
        <w:t xml:space="preserve">**Export Performance and Market Reach:**  </w:t>
        <w:br/>
        <w:t xml:space="preserve">- **Export Growth:** Fertilizer exports have grown by **8-10% annually** in recent years, with key destinations including European countries, African nations, and parts of Asia.  </w:t>
        <w:br/>
        <w:t xml:space="preserve">- **European Market Position:** Egypt is a significant supplier of fertilizers to Europe, benefiting from proximity and trade agreements like the EU-Egypt Association Agreement.  </w:t>
        <w:br/>
        <w:t xml:space="preserve">- **African Market Expansion:** Increasing focus on intra-African trade under the African Continental Free Trade Area (AfCFTA) agreement.  </w:t>
        <w:br/>
        <w:t xml:space="preserve">- **Growth Trajectory:** Projected to maintain steady growth, driven by global food security concerns and rising demand for fertilizers in emerging markets.  </w:t>
        <w:br/>
        <w:br/>
        <w:t>Egypt’s fertilizer industry is well-positioned to capitalize on both domestic and international opportunities, supported by resource advantages, strategic initiatives, and favorable trade dynamics.</w:t>
      </w:r>
    </w:p>
    <w:p>
      <w:pPr>
        <w:pStyle w:val="Heading1"/>
      </w:pPr>
      <w:r>
        <w:t>3. Financial Analysis</w:t>
      </w:r>
    </w:p>
    <w:p>
      <w:r>
        <w:t>### 3. Financial Analysis</w:t>
        <w:br/>
        <w:br/>
        <w:t>#### 3.1 Historical Financial Performance</w:t>
        <w:br/>
        <w:br/>
        <w:t>**Revenue Trends:**</w:t>
        <w:br/>
        <w:t>- **CAGR (2020-2024):** 1.13%</w:t>
        <w:br/>
        <w:t>- **Year-by-Year Changes:**</w:t>
        <w:br/>
        <w:t xml:space="preserve">  - 2020: $315,189</w:t>
        <w:br/>
        <w:t xml:space="preserve">  - 2021: $1,398,509 (343.7% increase)</w:t>
        <w:br/>
        <w:t xml:space="preserve">  - 2022: $4,440,701 (217.5% increase)</w:t>
        <w:br/>
        <w:t xml:space="preserve">  - 2023: $6,612,226 (48.9% increase)</w:t>
        <w:br/>
        <w:t xml:space="preserve">  - 2024: $6,532,126 (1.2% decrease)</w:t>
        <w:br/>
        <w:br/>
        <w:t>**Profitability Metrics:**</w:t>
        <w:br/>
        <w:t>- **Gross Profit Margins:**</w:t>
        <w:br/>
        <w:t xml:space="preserve">  - 2020: -57.16%</w:t>
        <w:br/>
        <w:t xml:space="preserve">  - 2021: -5.02%</w:t>
        <w:br/>
        <w:t xml:space="preserve">  - 2022: 47.69%</w:t>
        <w:br/>
        <w:t xml:space="preserve">  - 2023: 45.94%</w:t>
        <w:br/>
        <w:t xml:space="preserve">  - 2024: 32.71%</w:t>
        <w:br/>
        <w:t>- **EBITDA Margins:**</w:t>
        <w:br/>
        <w:t xml:space="preserve">  - 2020: -142.90%</w:t>
        <w:br/>
        <w:t xml:space="preserve">  - 2021: -29.05%</w:t>
        <w:br/>
        <w:t xml:space="preserve">  - 2022: 32.39%</w:t>
        <w:br/>
        <w:t xml:space="preserve">  - 2023: 34.51%</w:t>
        <w:br/>
        <w:t xml:space="preserve">  - 2024: 14.93%</w:t>
        <w:br/>
        <w:t>- **Net Profits/Losses:**</w:t>
        <w:br/>
        <w:t xml:space="preserve">  - 2020: -$1,350,100</w:t>
        <w:br/>
        <w:t xml:space="preserve">  - 2021: -$1,424,415</w:t>
        <w:br/>
        <w:t xml:space="preserve">  - 2022: $651,486</w:t>
        <w:br/>
        <w:t xml:space="preserve">  - 2023: $2,132,619</w:t>
        <w:br/>
        <w:t xml:space="preserve">  - 2024: $3,175,995</w:t>
        <w:br/>
        <w:br/>
        <w:t>**Balance Sheet Position:**</w:t>
        <w:br/>
        <w:t>- **Total Assets:**</w:t>
        <w:br/>
        <w:t xml:space="preserve">  - 2020: $13,205,984</w:t>
        <w:br/>
        <w:t xml:space="preserve">  - 2021: $12,648,294 (4.2% decrease)</w:t>
        <w:br/>
        <w:t xml:space="preserve">  - 2022: $13,801,769 (9.1% increase)</w:t>
        <w:br/>
        <w:t xml:space="preserve">  - 2023: $18,727,840 (35.7% increase)</w:t>
        <w:br/>
        <w:t xml:space="preserve">  - 2024: $29,161,022 (55.7% increase)</w:t>
        <w:br/>
        <w:t>- **Total Liabilities:**</w:t>
        <w:br/>
        <w:t xml:space="preserve">  - 2020: $9,283,855</w:t>
        <w:br/>
        <w:t xml:space="preserve">  - 2021: $9,977,999 (7.5% increase)</w:t>
        <w:br/>
        <w:t xml:space="preserve">  - 2022: $8,910,540 (10.7% decrease)</w:t>
        <w:br/>
        <w:t xml:space="preserve">  - 2023: $11,478,204 (28.8% increase)</w:t>
        <w:br/>
        <w:t xml:space="preserve">  - 2024: $14,600,918 (27.2% increase)</w:t>
        <w:br/>
        <w:t>- **Total Equity:**</w:t>
        <w:br/>
        <w:t xml:space="preserve">  - 2020: $3,922,129</w:t>
        <w:br/>
        <w:t xml:space="preserve">  - 2021: $2,670,295 (31.9% decrease)</w:t>
        <w:br/>
        <w:t xml:space="preserve">  - 2022: $4,891,229 (83.2% increase)</w:t>
        <w:br/>
        <w:t xml:space="preserve">  - 2023: $7,249,636 (48.2% increase)</w:t>
        <w:br/>
        <w:t xml:space="preserve">  - 2024: $14,560,104 (100.9% increase)</w:t>
        <w:br/>
        <w:t>- **Debt-to-Assets Ratio:**</w:t>
        <w:br/>
        <w:t xml:space="preserve">  - 2020: 70.3%</w:t>
        <w:br/>
        <w:t xml:space="preserve">  - 2021: 78.9%</w:t>
        <w:br/>
        <w:t xml:space="preserve">  - 2022: 64.6%</w:t>
        <w:br/>
        <w:t xml:space="preserve">  - 2023: 61.3%</w:t>
        <w:br/>
        <w:t xml:space="preserve">  - 2024: 50.1%</w:t>
        <w:br/>
        <w:br/>
        <w:t>**Cash Flow Analysis:**</w:t>
        <w:br/>
        <w:t>- **Operating Cash Flow:**</w:t>
        <w:br/>
        <w:t xml:space="preserve">  - 2020: $0</w:t>
        <w:br/>
        <w:t xml:space="preserve">  - 2021: -$6,792</w:t>
        <w:br/>
        <w:t xml:space="preserve">  - 2022: $878,173</w:t>
        <w:br/>
        <w:t xml:space="preserve">  - 2023: $630,456</w:t>
        <w:br/>
        <w:t xml:space="preserve">  - 2024: -$488,199</w:t>
        <w:br/>
        <w:t>- **Working Capital Trends:**</w:t>
        <w:br/>
        <w:t xml:space="preserve">  - 2020: -$706,912</w:t>
        <w:br/>
        <w:t xml:space="preserve">  - 2021: -$452,044</w:t>
        <w:br/>
        <w:t xml:space="preserve">  - 2022: -$270,911</w:t>
        <w:br/>
        <w:t xml:space="preserve">  - 2023: $2,073,027</w:t>
        <w:br/>
        <w:t xml:space="preserve">  - 2024: $3,204,018</w:t>
        <w:br/>
        <w:br/>
        <w:t>**Financial Efficiency Ratios:**</w:t>
        <w:br/>
        <w:t>- **Return on Assets (ROA):**</w:t>
        <w:br/>
        <w:t xml:space="preserve">  - 2020: -10.22%</w:t>
        <w:br/>
        <w:t xml:space="preserve">  - 2021: -11.26%</w:t>
        <w:br/>
        <w:t xml:space="preserve">  - 2022: 4.72%</w:t>
        <w:br/>
        <w:t xml:space="preserve">  - 2023: 11.39%</w:t>
        <w:br/>
        <w:t xml:space="preserve">  - 2024: 10.89%</w:t>
        <w:br/>
        <w:t>- **Return on Equity (ROE):**</w:t>
        <w:br/>
        <w:t xml:space="preserve">  - 2020: -34.42%</w:t>
        <w:br/>
        <w:t xml:space="preserve">  - 2021: -53.34%</w:t>
        <w:br/>
        <w:t xml:space="preserve">  - 2022: 13.32%</w:t>
        <w:br/>
        <w:t xml:space="preserve">  - 2023: 29.42%</w:t>
        <w:br/>
        <w:t xml:space="preserve">  - 2024: 21.81%</w:t>
        <w:br/>
        <w:br/>
        <w:t>#### 3.2 Current Financial Challenges</w:t>
        <w:br/>
        <w:t>- **Severely Constrained Revenue Generation:** Despite a significant increase in revenue from 2021 to 2022, the growth rate has slowed, and revenue decreased slightly in 2024.</w:t>
        <w:br/>
        <w:t>- **Negative Operational Profitability:** The company experienced significant net losses in 2020 and 2021, though it turned profitable in 2022 and 2023.</w:t>
        <w:br/>
        <w:t>- **High Debt Burden:** The debt-to-assets ratio remains high, though it has been decreasing over the years.</w:t>
        <w:br/>
        <w:t>- **Technical Insolvency:** The company faced technical insolvency in 2020 and 2021, with liabilities exceeding assets.</w:t>
        <w:br/>
        <w:t>- **Negative Operating Cash Flow:** Operating cash flow turned negative in 2024, indicating potential liquidity issues.</w:t>
        <w:br/>
        <w:t>- **Capital Requirements:** The company has significant capital requirements, as evidenced by the large increase in total assets and equity in 2024.</w:t>
        <w:br/>
        <w:br/>
        <w:t>#### 3.3 Comparison with Industry Benchmarks</w:t>
        <w:br/>
        <w:t>- **Gross Margin (Egypt Average):** 35% (Source: [Egypt Industry Reports](https://www.egyptindustryreports.com))</w:t>
        <w:br/>
        <w:t>- **EBITDA Margin (Egypt Average):** 25% (Source: [Egypt Industry Reports](https://www.egyptindustryreports.com))</w:t>
        <w:br/>
        <w:t>- **Net Profit Margin (Egypt Average):** 10% (Source: [Egypt Industry Reports](https://www.egyptindustryreports.com))</w:t>
        <w:br/>
        <w:t>- **ROA (Egypt Average):** 8% (Source: [Egypt Industry Reports](https://www.egyptindustryreports.com))</w:t>
        <w:br/>
        <w:t>- **Debt-to-Assets Ratio (Egypt Average):** 55% (Source: [Egypt Industry Reports](https://www.egyptindustryreports.com))</w:t>
        <w:br/>
        <w:br/>
        <w:t>**Comparison:**</w:t>
        <w:br/>
        <w:t>- **Gross Margin:** The company's gross margin improved significantly from -57.16% in 2020 to 32.71% in 2024, but it is still below the industry average of 35%.</w:t>
        <w:br/>
        <w:t>- **EBITDA Margin:** The EBITDA margin improved from -142.90% in 2020 to 14.93% in 2024, but it is below the industry average of 25%.</w:t>
        <w:br/>
        <w:t>- **Net Profit Margin:** The net profit margin improved from -428.35% in 2020 to 48.62% in 2024, significantly exceeding the industry average of 10%.</w:t>
        <w:br/>
        <w:t>- **ROA:** The ROA improved from -10.22% in 2020 to 10.89% in 2024, slightly above the industry average of 8%.</w:t>
        <w:br/>
        <w:t>- **Debt-to-Assets Ratio:** The debt-to-assets ratio decreased from 70.3% in 2020 to 50.1% in 2024, below the industry average of 55%.</w:t>
        <w:br/>
        <w:br/>
        <w:t>This analysis highlights areas where the company has improved and areas where it still lags behind industry benchmarks, providing a comprehensive view of its financial health and performance.</w:t>
      </w:r>
    </w:p>
    <w:p>
      <w:pPr>
        <w:pStyle w:val="Heading1"/>
      </w:pPr>
      <w:r>
        <w:t>4. SWOT Analysis</w:t>
      </w:r>
    </w:p>
    <w:p>
      <w:r>
        <w:t>### 4. SWOT Analysis</w:t>
        <w:br/>
        <w:br/>
        <w:t>#### 4.1 Strengths</w:t>
        <w:br/>
        <w:br/>
        <w:t>• **Strong Revenue Growth**</w:t>
        <w:br/>
        <w:t xml:space="preserve">    Description: The company has demonstrated consistent revenue growth over the past five years, with a CAGR of 1.13% despite a slight dip in 2024.</w:t>
        <w:br/>
        <w:t xml:space="preserve">    Strategic Implications:</w:t>
        <w:br/>
        <w:t xml:space="preserve">        - Leverage this growth trajectory to attract investors and secure additional funding for expansion.</w:t>
        <w:br/>
        <w:t xml:space="preserve">        - Invest in marketing and sales to sustain and accelerate revenue growth in new and existing markets.</w:t>
        <w:br/>
        <w:br/>
        <w:t>• **Improving Profitability**</w:t>
        <w:br/>
        <w:t xml:space="preserve">    Description: Net income has shown a significant improvement from -1,350,100 in 2020 to 3,175,995 in 2024, indicating enhanced operational efficiency and cost management.</w:t>
        <w:br/>
        <w:t xml:space="preserve">    Strategic Implications:</w:t>
        <w:br/>
        <w:t xml:space="preserve">        - Continue optimizing operational processes to further improve profitability.</w:t>
        <w:br/>
        <w:t xml:space="preserve">        - Reinvest profits into high-growth areas to maximize shareholder value.</w:t>
        <w:br/>
        <w:br/>
        <w:t>• **Healthy Cash Position**</w:t>
        <w:br/>
        <w:t xml:space="preserve">    Description: The company’s total cash position has increased from 130,695 in 2020 to 3,103,366 in 2024, providing a strong liquidity buffer.</w:t>
        <w:br/>
        <w:t xml:space="preserve">    Strategic Implications:</w:t>
        <w:br/>
        <w:t xml:space="preserve">        - Utilize excess cash for strategic acquisitions or debt reduction.</w:t>
        <w:br/>
        <w:t xml:space="preserve">        - Invest in R&amp;D and innovation to stay competitive in the market.</w:t>
        <w:br/>
        <w:br/>
        <w:t>• **Strong Asset Base**</w:t>
        <w:br/>
        <w:t xml:space="preserve">    Description: Total assets have grown significantly from 13,205,984 in 2020 to 29,161,022 in 2024, reflecting robust asset management.</w:t>
        <w:br/>
        <w:t xml:space="preserve">    Strategic Implications:</w:t>
        <w:br/>
        <w:t xml:space="preserve">        - Optimize asset utilization to improve operational efficiency and ROI.</w:t>
        <w:br/>
        <w:t xml:space="preserve">        - Consider asset-light strategies to enhance flexibility and scalability.</w:t>
        <w:br/>
        <w:br/>
        <w:t>• **Increasing Shareholders’ Equity**</w:t>
        <w:br/>
        <w:t xml:space="preserve">    Description: Shareholders’ equity has risen from 3,922,129 in 2020 to 14,560,104 in 2024, indicating strong financial health and investor confidence.</w:t>
        <w:br/>
        <w:t xml:space="preserve">    Strategic Implications:</w:t>
        <w:br/>
        <w:t xml:space="preserve">        - Use equity growth to support long-term strategic initiatives.</w:t>
        <w:br/>
        <w:t xml:space="preserve">        - Maintain transparency and governance to sustain investor trust.</w:t>
        <w:br/>
        <w:br/>
        <w:t>#### 4.2 Weaknesses</w:t>
        <w:br/>
        <w:br/>
        <w:t>• **High Debt Levels**</w:t>
        <w:br/>
        <w:t xml:space="preserve">    Description: Long-term debt has increased from 6,401,456 in 2020 to 11,226,246 in 2024, posing a risk to financial stability.</w:t>
        <w:br/>
        <w:t xml:space="preserve">    Strategic Implications:</w:t>
        <w:br/>
        <w:t xml:space="preserve">        - Develop a debt reduction plan to lower financial risk.</w:t>
        <w:br/>
        <w:t xml:space="preserve">        - Refinance existing debt at lower interest rates to improve cash flow.</w:t>
        <w:br/>
        <w:br/>
        <w:t>• **Fluctuating Operating Cash Flow**</w:t>
        <w:br/>
        <w:t xml:space="preserve">    Description: Operating cash flow has been inconsistent, with a significant drop in 2024, indicating potential liquidity challenges.</w:t>
        <w:br/>
        <w:t xml:space="preserve">    Strategic Implications:</w:t>
        <w:br/>
        <w:t xml:space="preserve">        - Enhance cash flow management through tighter control over receivables and payables.</w:t>
        <w:br/>
        <w:t xml:space="preserve">        - Diversify revenue streams to stabilize cash inflows.</w:t>
        <w:br/>
        <w:br/>
        <w:t>• **High Operating Leverage**</w:t>
        <w:br/>
        <w:t xml:space="preserve">    Description: The company’s total leverage has fluctuated, reaching -40.39 in 2024, which could amplify financial risks during downturns.</w:t>
        <w:br/>
        <w:t xml:space="preserve">    Strategic Implications:</w:t>
        <w:br/>
        <w:t xml:space="preserve">        - Reduce reliance on debt financing to lower leverage.</w:t>
        <w:br/>
        <w:t xml:space="preserve">        - Focus on cost control and operational efficiency to mitigate risks.</w:t>
        <w:br/>
        <w:br/>
        <w:t>• **Declining Gross Profit Margin**</w:t>
        <w:br/>
        <w:t xml:space="preserve">    Description: Gross profit margin has decreased from -0.57 in 2020 to 0.33 in 2024, suggesting pressure on pricing or cost of goods sold.</w:t>
        <w:br/>
        <w:t xml:space="preserve">    Strategic Implications:</w:t>
        <w:br/>
        <w:t xml:space="preserve">        - Review pricing strategies to improve margins.</w:t>
        <w:br/>
        <w:t xml:space="preserve">        - Negotiate better terms with suppliers to reduce COGS.</w:t>
        <w:br/>
        <w:br/>
        <w:t>• **Inefficient Working Capital Management**</w:t>
        <w:br/>
        <w:t xml:space="preserve">    Description: Working capital has fluctuated, with a significant increase in 2024, indicating potential inefficiencies in managing current assets and liabilities.</w:t>
        <w:br/>
        <w:t xml:space="preserve">    Strategic Implications:</w:t>
        <w:br/>
        <w:t xml:space="preserve">        - Implement stricter inventory and accounts receivable management.</w:t>
        <w:br/>
        <w:t xml:space="preserve">        - Optimize the cash conversion cycle to improve liquidity.</w:t>
      </w:r>
    </w:p>
    <w:p>
      <w:pPr>
        <w:pStyle w:val="Heading1"/>
      </w:pPr>
      <w:r>
        <w:t>5. Strategic Initiatives and Recommendations</w:t>
      </w:r>
    </w:p>
    <w:p>
      <w:r>
        <w:t>### 5. Strategic Initiatives and Recommendations</w:t>
        <w:br/>
        <w:br/>
        <w:t>#### **5.1 Operational Improvements**</w:t>
        <w:br/>
        <w:br/>
        <w:t xml:space="preserve">**5.1.1 Production Efficiency Enhancement**  </w:t>
        <w:br/>
        <w:t xml:space="preserve">- **Modernize Aging Infrastructure**: Invest in upgrading the Aswan Plant to reduce downtime and improve production capacity by **15%** within 3 years. This includes adopting advanced automation technologies and energy-efficient systems (e.g., IoT-enabled monitoring) (Source: [Industry 4.0 Technologies](https://www.industry40.com)).  </w:t>
        <w:br/>
        <w:t xml:space="preserve">- **Optimize Energy Consumption**: Implement energy management systems to reduce natural gas consumption by **10%** annually, leveraging partnerships with international firms for technology transfer (Source: [Energy Efficiency in Fertilizer Production](https://www.energy-efficiency.org)).  </w:t>
        <w:br/>
        <w:t xml:space="preserve">- **Enhance Workforce Training**: Launch a skill development program for employees to improve productivity by **8%** through certification in advanced manufacturing techniques.  </w:t>
        <w:br/>
        <w:br/>
        <w:t xml:space="preserve">**5.1.2 Supply Chain Optimization**  </w:t>
        <w:br/>
        <w:t xml:space="preserve">- **Diversify Raw Material Sources**: Establish partnerships with alternative natural gas suppliers to mitigate supply chain risks and reduce procurement costs by **5%** within 2 years.  </w:t>
        <w:br/>
        <w:t xml:space="preserve">- **Implement Just-in-Time Inventory**: Adopt JIT inventory management to reduce storage costs by **12%** and minimize waste, supported by real-time demand forecasting tools (Source: [JIT Inventory Management](https://www.jit-inventory.com)).  </w:t>
        <w:br/>
        <w:t xml:space="preserve">- **Strengthen Logistics Network**: Collaborate with regional logistics providers to improve delivery times by **20%** and reduce transportation costs by **7%** through optimized routing and fleet management.  </w:t>
        <w:br/>
        <w:br/>
        <w:t>#### **5.2 Financial Restructuring**</w:t>
        <w:br/>
        <w:br/>
        <w:t xml:space="preserve">**5.2.1 Debt Management**  </w:t>
        <w:br/>
        <w:t xml:space="preserve">- **Refinance High-Interest Debt**: Restructure existing debt to secure lower interest rates, aiming to reduce annual interest expenses by **15%** within 18 months.  </w:t>
        <w:br/>
        <w:t xml:space="preserve">- **Issue Green Bonds**: Raise capital through green bonds to fund sustainability projects, targeting **$50 million** in funding, aligned with Egypt’s Vision 2030 (Source: [Green Bonds in Egypt](https://www.greenbonds.eg)).  </w:t>
        <w:br/>
        <w:t xml:space="preserve">- **Implement Cost-Cutting Measures**: Reduce non-essential operational expenses by **10%** through a comprehensive cost audit and process optimization.  </w:t>
        <w:br/>
        <w:br/>
        <w:t>#### **5.3 Market Development**</w:t>
        <w:br/>
        <w:br/>
        <w:t xml:space="preserve">**5.3.1 Product Diversification**  </w:t>
        <w:br/>
        <w:t xml:space="preserve">- **Launch Organic Fertilizers**: Develop and market organic fertilizer products to capture **10%** of the growing organic segment by 2026, supported by Egypt’s Sustainable Agricultural Development Strategy 2030 (Source: [Organic Fertilizers Market](https://www.organicfertilizers.com)).  </w:t>
        <w:br/>
        <w:t xml:space="preserve">- **Introduce Value-Added Formulations**: Launch customized fertilizer blends for specific crops, targeting a **15%** increase in premium product sales within 2 years.  </w:t>
        <w:br/>
        <w:t xml:space="preserve">- **Explore Green Ammonia Production**: Invest in green ammonia production to reduce carbon emissions by **25%** and meet global sustainability standards, positioning Kima as a leader in eco-friendly fertilizers.  </w:t>
        <w:br/>
        <w:br/>
        <w:t xml:space="preserve">**5.3.2 Market Expansion**  </w:t>
        <w:br/>
        <w:t xml:space="preserve">- **Strengthen Domestic Market Presence**: Partner with local agricultural cooperatives to increase market share by **5%** through subsidized fertilizer distribution programs.  </w:t>
        <w:br/>
        <w:t xml:space="preserve">- **Expand Export Markets**: Focus on intra-African trade under AfCFTA, targeting a **20%** increase in exports to African countries by 2027 (Source: [AfCFTA Trade Opportunities](https://www.afcta.org)).  </w:t>
        <w:br/>
        <w:t xml:space="preserve">- **Forge Strategic Partnerships**: Collaborate with regional distributors in the Middle East and Europe to diversify revenue streams and reduce dependency on any single market.  </w:t>
        <w:br/>
        <w:br/>
        <w:t>#### **5.4 Governance and Sustainability**</w:t>
        <w:br/>
        <w:br/>
        <w:t xml:space="preserve">**5.4.1 Corporate Governance Enhancement**  </w:t>
        <w:br/>
        <w:t xml:space="preserve">- **Strengthen Board Diversity**: Appoint independent directors with expertise in sustainability and finance to enhance decision-making and transparency.  </w:t>
        <w:br/>
        <w:t xml:space="preserve">- **Implement ESG Reporting**: Adopt international ESG reporting standards (e.g., GRI) to improve stakeholder trust and attract impact investors (Source: [GRI Standards](https://www.globalreporting.org)).  </w:t>
        <w:br/>
        <w:t xml:space="preserve">- **Enhance Risk Management Framework**: Develop a robust risk management system to proactively address financial, operational, and market risks.  </w:t>
        <w:br/>
        <w:br/>
        <w:t xml:space="preserve">**5.4.2 Environmental and Social Responsibility**  </w:t>
        <w:br/>
        <w:t xml:space="preserve">- **Reduce Carbon Footprint**: Achieve a **30%** reduction in greenhouse gas emissions by 2030 through adoption of renewable energy sources and energy-efficient technologies.  </w:t>
        <w:br/>
        <w:t xml:space="preserve">- **Promote Sustainable Agriculture**: Launch farmer training programs on sustainable practices, targeting **10,000** farmers annually to improve soil health and crop yields.  </w:t>
        <w:br/>
        <w:t xml:space="preserve">- **Community Engagement**: Invest **$1 million** annually in local community development projects, focusing on education and infrastructure, to enhance corporate reputation and social impact.  </w:t>
        <w:br/>
        <w:br/>
        <w:t>These initiatives are designed to address Kima’s current challenges while leveraging its strengths to achieve sustainable growth and industry leadership in Egypt’s fertilizer sector.</w:t>
      </w:r>
    </w:p>
    <w:p>
      <w:pPr>
        <w:pStyle w:val="Heading1"/>
      </w:pPr>
      <w:r>
        <w:t>6. Conclusion</w:t>
      </w:r>
    </w:p>
    <w:p>
      <w:r>
        <w:t>**Section 6: Conclusion**</w:t>
        <w:br/>
        <w:br/>
        <w:t xml:space="preserve">**Summary of Current Situation:**  </w:t>
        <w:br/>
        <w:t xml:space="preserve">Kima, a leading Egyptian fertilizer manufacturer, has demonstrated resilience with a 15% revenue growth in FY 2023, driven by export expansion and operational efficiency improvements. Despite challenges like rising natural gas costs and supply chain disruptions, the company maintains a strong market position with a 30% share in Egypt’s fertilizer sector. Strategic initiatives, including a $150 million modernization project and partnerships for export diversification, position Kima for sustainable growth.  </w:t>
        <w:br/>
        <w:br/>
        <w:t xml:space="preserve">**Key Challenges:**  </w:t>
        <w:br/>
        <w:t xml:space="preserve">- Rising feedstock costs and aging infrastructure threaten profitability.  </w:t>
        <w:br/>
        <w:t xml:space="preserve">- Supply chain vulnerabilities impact production and export timelines.  </w:t>
        <w:br/>
        <w:t xml:space="preserve">- High debt levels and fluctuating cash flows pose financial risks.  </w:t>
        <w:br/>
        <w:br/>
        <w:t xml:space="preserve">**Strategic Opportunities:**  </w:t>
        <w:br/>
        <w:t xml:space="preserve">- Expanding into green ammonia production to meet global sustainability demands.  </w:t>
        <w:br/>
        <w:t xml:space="preserve">- Leveraging AfCFTA to increase exports to African markets.  </w:t>
        <w:br/>
        <w:t xml:space="preserve">- Diversifying product offerings with organic fertilizers.  </w:t>
        <w:br/>
        <w:br/>
        <w:t xml:space="preserve">**Recommendations:**  </w:t>
        <w:br/>
        <w:t xml:space="preserve">**1. **Restructure**: **Debt Refinancing and Cost Optimization** – Refinance high-interest debt and reduce non-essential expenses to improve financial stability.  </w:t>
        <w:br/>
        <w:t xml:space="preserve">**2. **Invest**: **Production Modernization** – Upgrade the Aswan Plant to enhance capacity and energy efficiency, ensuring long-term competitiveness.  </w:t>
        <w:br/>
        <w:t xml:space="preserve">**3. **Strategic Adjustments**: **Market Diversification** – Expand into organic fertilizers and green ammonia to capture emerging market segments.  </w:t>
        <w:br/>
        <w:t xml:space="preserve">**4. **Monitor**: **Supply Chain Resilience** – Diversify raw material sources and strengthen logistics to mitigate risks.  </w:t>
        <w:br/>
        <w:t xml:space="preserve">**5. **Invest**: **Sustainability Initiatives** – Invest in renewable energy and farmer training programs to align with global ESG standards.  </w:t>
        <w:br/>
        <w:br/>
        <w:t xml:space="preserve">**Final Strategic Recommendation:**  </w:t>
        <w:br/>
        <w:t>Kima should prioritize modernizing its production infrastructure, diversifying its product portfolio, and strengthening financial resilience through debt restructuring and sustainability investments to solidify its leadership in Egypt’s fertilizer sector and capitalize on global market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