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Company Summary Overview</w:t>
      </w:r>
    </w:p>
    <w:p>
      <w:r>
        <w:t xml:space="preserve">**Overview Report: Misr Aluminum in the Egyptian Metallurgical Industry**  </w:t>
        <w:br/>
        <w:br/>
        <w:t xml:space="preserve">**1. Explanation: Current Situation, Strengths, Weaknesses, and Position**  </w:t>
        <w:br/>
        <w:t xml:space="preserve">Misr Aluminum (MAC) is a leading aluminum producer in Egypt, established in 1971, with a significant contribution to the country’s industrial and export sectors. The company operates three key facilities—Nag Hammadi, Alexandria Rolling Mill, and Cairo Extrusion Plant—with a combined production capacity of over 480,000 metric tons annually. MAC reported steady revenue growth in FY2023, driven by increased demand in construction and automotive sectors, and has focused on sustainability initiatives and operational efficiency improvements.  </w:t>
        <w:br/>
        <w:br/>
        <w:t xml:space="preserve">**Key Strengths:**  </w:t>
        <w:br/>
        <w:t xml:space="preserve">- **Market Leadership**: Dominant position in Egypt’s aluminum industry with a strong export presence.  </w:t>
        <w:br/>
        <w:t xml:space="preserve">- **Strategic Initiatives**: Focus on sustainability, energy efficiency, and product diversification.  </w:t>
        <w:br/>
        <w:t xml:space="preserve">- **Government Support**: Alignment with Egypt’s Vision 2030 and strategic partnerships for growth.  </w:t>
        <w:br/>
        <w:br/>
        <w:t xml:space="preserve">**Key Weaknesses:**  </w:t>
        <w:br/>
        <w:t xml:space="preserve">- **Financial Distress**: Negative profitability (EBITDA margin: -25.73%, Net Profit: -EGP 1.86 million), high debt (debt-to-assets ratio: 55.72%), and operational inefficiencies.  </w:t>
        <w:br/>
        <w:t xml:space="preserve">- **Aging Infrastructure**: Nag Hammadi plant requires significant modernization.  </w:t>
        <w:br/>
        <w:t xml:space="preserve">- **External Challenges**: Rising energy costs, raw material price volatility, and regional competition.  </w:t>
        <w:br/>
        <w:br/>
        <w:t xml:space="preserve">**Overall Position**: Despite its market leadership, Misr Aluminum faces severe financial and operational challenges that threaten its long-term sustainability.  </w:t>
        <w:br/>
        <w:br/>
        <w:t xml:space="preserve">**2. Comparison to Macro State**  </w:t>
        <w:br/>
        <w:t xml:space="preserve">- **Industry Context**: Egypt’s metallurgical industry is growing at 6-7% annually, driven by government initiatives like Vision 2030 and infrastructure projects. Misr Aluminum is a key player but underperforms industry benchmarks (e.g., gross margin: -22.94% vs. industry average 30%).  </w:t>
        <w:br/>
        <w:t xml:space="preserve">- **Global Standing**: Egypt ranks among the top 5 aluminum producers in Africa, and Misr Aluminum contributes significantly to global supply chains. However, the company lags in adopting advanced technologies and sustainable practices compared to global peers.  </w:t>
        <w:br/>
        <w:t xml:space="preserve">- **Export Performance**: Metallurgical exports from Egypt grew by 8-10% annually, but Misr Aluminum’s export revenue growth is constrained by financial inefficiencies and limited product diversification.  </w:t>
        <w:br/>
        <w:br/>
        <w:t xml:space="preserve">**3. Suggestions/Recommendations for Future Steps**  </w:t>
        <w:br/>
        <w:t xml:space="preserve">**Strategic Priorities:**  </w:t>
        <w:br/>
        <w:t xml:space="preserve">- **Restructure**:  </w:t>
        <w:br/>
        <w:t xml:space="preserve">  - **Debt Refinancing**: Restructure short-term debt (EGP 2.18 billion) into long-term financing to reduce interest expenses.  </w:t>
        <w:br/>
        <w:t xml:space="preserve">  - **Cost Reduction**: Implement a EGP 500 million cost-cutting program targeting energy, operations, and supply chain inefficiencies.  </w:t>
        <w:br/>
        <w:t xml:space="preserve">  - **Capital Injection**: Secure EGP 1 billion in equity or government grants to fund modernization and sustainability initiatives.  </w:t>
        <w:br/>
        <w:br/>
        <w:t xml:space="preserve">- **Invest**:  </w:t>
        <w:br/>
        <w:t xml:space="preserve">  - **Modernization**: Invest $150 million in upgrading the Nag Hammadi plant to increase capacity and reduce downtime.  </w:t>
        <w:br/>
        <w:t xml:space="preserve">  - **Sustainability**: Adopt advanced smelting technologies and renewable energy to reduce carbon emissions by 30% by 2030.  </w:t>
        <w:br/>
        <w:t xml:space="preserve">  - **Product Diversification**: Expand into high-margin segments like automotive and aerospace components, targeting a 25% increase in value-added sales by 2028.  </w:t>
        <w:br/>
        <w:br/>
        <w:t xml:space="preserve">- **Strategic Adjustments**:  </w:t>
        <w:br/>
        <w:t xml:space="preserve">  - **Market Expansion**: Leverage AfCFTA and EU trade agreements to increase export revenue by 20% by 2027.  </w:t>
        <w:br/>
        <w:t xml:space="preserve">  - **Partnerships**: Form joint ventures with international players to access new markets and technologies.  </w:t>
        <w:br/>
        <w:t xml:space="preserve">  - **Governance**: Enhance corporate governance with independent board members and transparency initiatives.  </w:t>
        <w:br/>
        <w:br/>
        <w:t xml:space="preserve">**Top Priorities:**  </w:t>
        <w:br/>
        <w:t xml:space="preserve">1. **Financial Restructuring**: Address debt and liquidity issues to stabilize operations.  </w:t>
        <w:br/>
        <w:t xml:space="preserve">2. **Operational Modernization**: Upgrade infrastructure and adopt advanced technologies to improve efficiency.  </w:t>
        <w:br/>
        <w:t xml:space="preserve">3. **Sustainability and Diversification**: Focus on green aluminum and high-margin products to enhance competitiveness.  </w:t>
        <w:br/>
        <w:br/>
        <w:t xml:space="preserve">**Conclusion**: Misr Aluminum must urgently address its financial distress while leveraging its market leadership and strategic initiatives to capitalize on Egypt’s growing metallurgical industry and global opportunities.  </w:t>
        <w:br/>
        <w:br/>
        <w:t xml:space="preserve">---  </w:t>
        <w:b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