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 xml:space="preserve"> KPI Summary</w:t>
      </w:r>
    </w:p>
    <w:p>
      <w:r>
        <w:t>Revenue: 38277.757</w:t>
      </w:r>
    </w:p>
    <w:p>
      <w:r>
        <w:t>COGS: 137600.685</w:t>
      </w:r>
    </w:p>
    <w:p>
      <w:r>
        <w:t>Gross Profit: -99322.928</w:t>
      </w:r>
    </w:p>
    <w:p>
      <w:r>
        <w:t>EBITDA: -261398.653</w:t>
      </w:r>
    </w:p>
    <w:p>
      <w:r>
        <w:t>Net Income: -304502.93700000003</w:t>
      </w:r>
    </w:p>
    <w:p>
      <w:pPr>
        <w:pStyle w:val="Heading2"/>
      </w:pPr>
      <w:r>
        <w:t xml:space="preserve"> Liquidity &amp; Solvency Metrics</w:t>
      </w:r>
    </w:p>
    <w:p>
      <w:r>
        <w:t>Cash: None</w:t>
      </w:r>
    </w:p>
    <w:p>
      <w:r>
        <w:t>Current Ratio: 1.7297814022257818</w:t>
      </w:r>
    </w:p>
    <w:p>
      <w:r>
        <w:t>Debt Ratio: None</w:t>
      </w:r>
    </w:p>
    <w:p>
      <w:pPr>
        <w:pStyle w:val="Heading2"/>
      </w:pPr>
      <w:r>
        <w:t xml:space="preserve"> AI Strategic Recommendation</w:t>
      </w:r>
    </w:p>
    <w:p>
      <w:r>
        <w:t>Restructure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