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10" w:line="276"/>
      </w:pPr>
      <w:r>
        <w:rPr>
          <w:rFonts w:ascii="Arial" w:cs="Arial" w:eastAsia="Arial" w:hAnsi="Arial"/>
          <w:b/>
          <w:bCs/>
          <w:color w:val="595959"/>
          <w:sz w:val="20"/>
          <w:szCs w:val="20"/>
        </w:rPr>
        <w:t xml:space="preserve">BUSINESS REQUIREMENTS DOCUMENT (BRD)</w:t>
      </w:r>
    </w:p>
    <w:p>
      <w:pPr>
        <w:spacing w:after="240" w:line="400"/>
      </w:pPr>
      <w:r>
        <w:rPr>
          <w:rFonts w:ascii="Arial" w:cs="Arial" w:eastAsia="Arial" w:hAnsi="Arial"/>
          <w:b/>
          <w:bCs/>
          <w:color w:val="1A1A1A"/>
          <w:sz w:val="44"/>
          <w:szCs w:val="44"/>
        </w:rPr>
        <w:t xml:space="preserve">Imaging Data Curation &amp; Licensing Programme — De-identification Station</w:t>
      </w:r>
    </w:p>
    <w:p>
      <w:pPr>
        <w:spacing w:after="110" w:line="276"/>
      </w:pPr>
      <w:r>
        <w:rPr>
          <w:rFonts w:ascii="Arial" w:cs="Arial" w:eastAsia="Arial" w:hAnsi="Arial"/>
          <w:b w:val="false"/>
          <w:bCs w:val="false"/>
          <w:i/>
          <w:iCs/>
          <w:color w:val="595959"/>
          <w:sz w:val="24"/>
          <w:szCs w:val="24"/>
        </w:rPr>
        <w:t xml:space="preserve">What the business, the ethics committee and the law need the system to do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8"/>
                <w:szCs w:val="18"/>
              </w:rPr>
              <w:t xml:space="preserve">Item</w:t>
            </w:r>
          </w:p>
        </w:tc>
        <w:tc>
          <w:tcPr>
            <w:tcW w:type="dxa" w:w="64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8"/>
                <w:szCs w:val="18"/>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Document ID / version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BRD-RAD-001 · v1.1 draft · 26 Sep 2026 (v1.0: 25 Sep 2026)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Owner</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Aishwarya Dwivedi (independent consultant)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Client / data custodian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Generic: any imaging centre. First site: </w:t>
            </w:r>
            <w:r>
              <w:rPr>
                <w:rFonts w:ascii="Arial" w:cs="Arial" w:eastAsia="Arial" w:hAnsi="Arial"/>
                <w:b/>
                <w:bCs/>
                <w:color w:val="1A1A1A"/>
                <w:sz w:val="18"/>
                <w:szCs w:val="18"/>
                <w:highlight w:val="yellow"/>
                <w:highlightCs w:val="yellow"/>
              </w:rPr>
              <w:t xml:space="preserve">[PLACEHOLDER: site name]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SDLC position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BRD (this document) → TRS-RAD-001 → docs/SPEC.md (build spec) → CLAUDE.md and phase prompts → code and tests. Process: docs/AI_DEVELOPMENT_LIFECYCLE.md. Installation: docs/INSTALL_GUIDE.md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Sources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Imaging Data Business Pitch v3; ethics application pack v1.0 (protocol, documents 00–11, guide presentation); build spec docs/SPEC.md v0.3 (merges amendment 01)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8"/>
                <w:szCs w:val="18"/>
              </w:rPr>
              <w:t xml:space="preserve">Approval</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8"/>
                <w:szCs w:val="18"/>
                <w:highlight w:val="yellow"/>
                <w:highlightCs w:val="yellow"/>
              </w:rPr>
              <w:t xml:space="preserve">[PLACEHOLDER: centre sponsor name]</w:t>
            </w:r>
            <w:r>
              <w:rPr>
                <w:rFonts w:ascii="Arial" w:cs="Arial" w:eastAsia="Arial" w:hAnsi="Arial"/>
                <w:b w:val="false"/>
                <w:bCs w:val="false"/>
                <w:color w:val="1A1A1A"/>
                <w:sz w:val="18"/>
                <w:szCs w:val="18"/>
              </w:rPr>
              <w:t xml:space="preserve"> · Aishwarya Dwivedi</w:t>
            </w:r>
          </w:p>
        </w:tc>
      </w:tr>
    </w:tbl>
    <w:p>
      <w:pPr>
        <w:spacing w:after="100"/>
      </w:pPr>
    </w:p>
    <w:p>
      <w:pPr>
        <w:spacing w:after="110" w:line="276"/>
      </w:pPr>
      <w:r>
        <w:rPr>
          <w:rFonts w:ascii="Arial" w:cs="Arial" w:eastAsia="Arial" w:hAnsi="Arial"/>
          <w:b w:val="false"/>
          <w:bCs w:val="false"/>
          <w:i/>
          <w:iCs/>
          <w:color w:val="595959"/>
          <w:sz w:val="17"/>
          <w:szCs w:val="17"/>
        </w:rPr>
        <w:t xml:space="preserve">Yellow highlights are facts or decisions still open. Nothing in those fields has been assumed.</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BFBFBF" w:sz="6" w:space="4"/>
        </w:pBdr>
        <w:spacing w:after="130" w:before="300"/>
      </w:pPr>
      <w:r>
        <w:rPr>
          <w:rFonts w:ascii="Arial" w:cs="Arial" w:eastAsia="Arial" w:hAnsi="Arial"/>
          <w:b/>
          <w:bCs/>
          <w:color w:val="1A1A1A"/>
          <w:sz w:val="28"/>
          <w:szCs w:val="28"/>
        </w:rPr>
        <w:t xml:space="preserve">1. Purpose</w:t>
      </w:r>
    </w:p>
    <w:p>
      <w:pPr>
        <w:spacing w:after="110" w:line="276"/>
      </w:pPr>
      <w:r>
        <w:rPr>
          <w:rFonts w:ascii="Arial" w:cs="Arial" w:eastAsia="Arial" w:hAnsi="Arial"/>
          <w:b w:val="false"/>
          <w:bCs w:val="false"/>
          <w:color w:val="1A1A1A"/>
          <w:sz w:val="20"/>
          <w:szCs w:val="20"/>
        </w:rPr>
        <w:t xml:space="preserve">This document states what the imaging data programme must achieve in business, ethical and legal terms. It is the top of the requirement chain. Every technical requirement in TRS-RAD-001 traces back to a business requirement (BR) here, and every BR traces to its source: the business pitch, the EC protocol, or a legal constraint.</w:t>
      </w:r>
    </w:p>
    <w:p>
      <w:pPr>
        <w:spacing w:after="110" w:line="276"/>
      </w:pPr>
      <w:r>
        <w:rPr>
          <w:rFonts w:ascii="Arial" w:cs="Arial" w:eastAsia="Arial" w:hAnsi="Arial"/>
          <w:b w:val="false"/>
          <w:bCs w:val="false"/>
          <w:color w:val="1A1A1A"/>
          <w:sz w:val="20"/>
          <w:szCs w:val="20"/>
        </w:rPr>
        <w:t xml:space="preserve">Whenever the business model, the EC protocol or the law changes, this document is updated first. The change then flows down to the TRS, the build spec and the code, in that order.</w:t>
      </w:r>
    </w:p>
    <w:p>
      <w:pPr>
        <w:pStyle w:val="Heading1"/>
        <w:keepNext/>
        <w:pBdr>
          <w:bottom w:val="single" w:color="BFBFBF" w:sz="6" w:space="4"/>
        </w:pBdr>
        <w:spacing w:after="130" w:before="300"/>
      </w:pPr>
      <w:r>
        <w:rPr>
          <w:rFonts w:ascii="Arial" w:cs="Arial" w:eastAsia="Arial" w:hAnsi="Arial"/>
          <w:b/>
          <w:bCs/>
          <w:color w:val="1A1A1A"/>
          <w:sz w:val="28"/>
          <w:szCs w:val="28"/>
        </w:rPr>
        <w:t xml:space="preserve">2. Business context</w:t>
      </w:r>
    </w:p>
    <w:p>
      <w:pPr>
        <w:spacing w:after="110" w:line="276"/>
      </w:pPr>
      <w:r>
        <w:rPr>
          <w:rFonts w:ascii="Arial" w:cs="Arial" w:eastAsia="Arial" w:hAnsi="Arial"/>
          <w:b w:val="false"/>
          <w:bCs w:val="false"/>
          <w:color w:val="1A1A1A"/>
          <w:sz w:val="20"/>
          <w:szCs w:val="20"/>
        </w:rPr>
        <w:t xml:space="preserve">AI models trained mainly on Western populations need Indian imaging data, and leading Indian providers already supply it. Mid-sized imaging centres hold years of CT, MRI, X-ray and ultrasound studies with reports. That data sits idle and is not in a form anyone can license.</w:t>
      </w:r>
    </w:p>
    <w:p>
      <w:pPr>
        <w:spacing w:after="110" w:line="276"/>
      </w:pPr>
      <w:r>
        <w:rPr>
          <w:rFonts w:ascii="Arial" w:cs="Arial" w:eastAsia="Arial" w:hAnsi="Arial"/>
          <w:b w:val="false"/>
          <w:bCs w:val="false"/>
          <w:color w:val="1A1A1A"/>
          <w:sz w:val="20"/>
          <w:szCs w:val="20"/>
        </w:rPr>
        <w:t xml:space="preserve">The programme turns part of a centre’s archive into a pseudonymised, quality-checked, licensable dataset. The centre keeps the originals and the key. AI developers license de-identified copies non-exclusively, so one curated dataset can earn from many buyers. The consultant curates, packages and manages buyers for a set-up fee plus a share of licence income.</w:t>
      </w:r>
    </w:p>
    <w:p>
      <w:pPr>
        <w:pStyle w:val="Heading2"/>
        <w:keepNext/>
        <w:spacing w:after="90" w:before="200"/>
      </w:pPr>
      <w:r>
        <w:rPr>
          <w:rFonts w:ascii="Arial" w:cs="Arial" w:eastAsia="Arial" w:hAnsi="Arial"/>
          <w:b/>
          <w:bCs/>
          <w:color w:val="1A1A1A"/>
          <w:sz w:val="23"/>
          <w:szCs w:val="23"/>
        </w:rPr>
        <w:t xml:space="preserve">2.1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300"/>
        <w:gridCol w:w="1726"/>
      </w:tblGrid>
      <w:tr>
        <w:trPr>
          <w:cantSplit/>
          <w:tblHeader/>
        </w:trPr>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Product</w:t>
            </w:r>
          </w:p>
        </w:tc>
        <w:tc>
          <w:tcPr>
            <w:tcW w:type="dxa" w:w="33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Contents</w:t>
            </w:r>
          </w:p>
        </w:tc>
        <w:tc>
          <w:tcPr>
            <w:tcW w:type="dxa" w:w="23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Needs from the centre</w:t>
            </w:r>
          </w:p>
        </w:tc>
        <w:tc>
          <w:tcPr>
            <w:tcW w:type="dxa" w:w="17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Timing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Tier 1: clean dataset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De-identified images + matched de-identified reports + searchable catalogue + QA evidence pack</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Staff export time; one person for sample QA</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First release about week 6 (pitch), subject to EC approval and the opt-out window</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Tier 2: annotated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Tier 1 plus labels, boxes or outlines by radiologists or trained PG residents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Radiologist time, paid per study</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Phase 2, after Tier 1 is stable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Addendum A: dental</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IOPA / bitewing, OPG; cephalogram and CBCT later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Confirm formats, burned-in text and share of minors in the audit</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Later product line </w:t>
            </w:r>
            <w:r>
              <w:rPr>
                <w:rFonts w:ascii="Arial" w:cs="Arial" w:eastAsia="Arial" w:hAnsi="Arial"/>
                <w:b/>
                <w:bCs/>
                <w:color w:val="1A1A1A"/>
                <w:sz w:val="17"/>
                <w:szCs w:val="17"/>
                <w:highlight w:val="yellow"/>
                <w:highlightCs w:val="yellow"/>
              </w:rPr>
              <w:t xml:space="preserve">[CONFIRM: does the centre do dental]</w:t>
            </w:r>
          </w:p>
        </w:tc>
      </w:tr>
    </w:tbl>
    <w:p>
      <w:pPr>
        <w:pStyle w:val="Heading2"/>
        <w:keepNext/>
        <w:spacing w:after="90" w:before="200"/>
      </w:pPr>
      <w:r>
        <w:rPr>
          <w:rFonts w:ascii="Arial" w:cs="Arial" w:eastAsia="Arial" w:hAnsi="Arial"/>
          <w:b/>
          <w:bCs/>
          <w:color w:val="1A1A1A"/>
          <w:sz w:val="23"/>
          <w:szCs w:val="23"/>
        </w:rPr>
        <w:t xml:space="preserve">2.2 Commercial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cantSplit/>
          <w:tblHeader/>
        </w:trPr>
        <w:tc>
          <w:tcPr>
            <w:tcW w:type="dxa" w:w="20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Channel</w:t>
            </w:r>
          </w:p>
        </w:tc>
        <w:tc>
          <w:tcPr>
            <w:tcW w:type="dxa" w:w="50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Description</w:t>
            </w:r>
          </w:p>
        </w:tc>
        <w:tc>
          <w:tcPr>
            <w:tcW w:type="dxa" w:w="20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Pricing basis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Marketplace listing</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Listed through a data marketplace that finds buyers and handles contracts</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Per-use share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Direct licence</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defined cohort licensed to one developer for a fixed term</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Annual fee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Custom curation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buyer specifies a cohort (e.g. TB-pattern chest X-rays, ages 20–60) and it is built to order</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Project fee</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3.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Stakeholder</w:t>
            </w:r>
          </w:p>
        </w:tc>
        <w:tc>
          <w:tcPr>
            <w:tcW w:type="dxa" w:w="60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Interest / responsibility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management (sponsor)</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New revenue with no change to reporting work; owns the data and the key; approves the programme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data custodian</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Holds the pseudonymisation key; maintains opt-out, staff/VIP, medico-legal and consent lists; records ethics and licensing approvals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Principal Investigator (centre radiologist)</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Accountable to the EC for the protocol; chairs the Data Access Committee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operators (staff)</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Export studies and reports to the drop folder; run jobs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Reviewers (radiologists / trained staff)</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Approve or reject each record; apply ethics exclusions; assign finding category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Consultant (curator)</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Installs and runs the pipeline on-site; packages releases; manages buyers. Must not hold the key or a vote on the DAC.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Data Access Committee (DAC)</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Approves every licensee and release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Institutional Ethics Committee (EC)</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Approves the protocol and the waiver; notified before each new licensee; receives an annual report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Licensees (AI developers)</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Need clean, consistent, well-structured data with patient-level splits and evidence of quality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Marketplace operator</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Needs catalogue metadata to list; must not receive data without DAC approval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Independent re-identification tester</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Attempts re-identification on 50–100 released cases before first release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Patients and public</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Privacy; notice and opt-out; benefit sharing</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legal counsel</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DPDP opinion; consent wording; licence terms</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4. Business objectives and success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26"/>
      </w:tblGrid>
      <w:tr>
        <w:trPr>
          <w:cantSplit/>
          <w:tblHeader/>
        </w:trPr>
        <w:tc>
          <w:tcPr>
            <w:tcW w:type="dxa" w:w="6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w:t>
            </w:r>
          </w:p>
        </w:tc>
        <w:tc>
          <w:tcPr>
            <w:tcW w:type="dxa" w:w="36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Objective</w:t>
            </w:r>
          </w:p>
        </w:tc>
        <w:tc>
          <w:tcPr>
            <w:tcW w:type="dxa" w:w="48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Measure of success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Create a licensable Tier 1 dataset from the centre’s archive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About [N] images (first site: about 5,000) across all listed modalities finalised within the EC-approved cohort </w:t>
            </w:r>
            <w:r>
              <w:rPr>
                <w:rFonts w:ascii="Arial" w:cs="Arial" w:eastAsia="Arial" w:hAnsi="Arial"/>
                <w:b/>
                <w:bCs/>
                <w:color w:val="1A1A1A"/>
                <w:sz w:val="17"/>
                <w:szCs w:val="17"/>
                <w:highlight w:val="yellow"/>
                <w:highlightCs w:val="yellow"/>
              </w:rPr>
              <w:t xml:space="preserve">[CONFIRM: images or studies]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Release nothing that identifies a patient</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0 identifiers found by automated checks, human review and the independent re-identification test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Stay inside the ethics approval at all times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0 releases outside the approved scope; 100% of releases pass the release gate; EC notified before every new licensee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Low cost and low disruption for the centre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Runs on an existing PC (Core i5, 16 GB); about ₹50k storage for the pilot; about 4–5 staff hours of QA per 1,000-study batch; PACS, RIS and reporting untouched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Repeatable income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Non-exclusive licences; same dataset licensed to several licensees </w:t>
            </w:r>
            <w:r>
              <w:rPr>
                <w:rFonts w:ascii="Arial" w:cs="Arial" w:eastAsia="Arial" w:hAnsi="Arial"/>
                <w:b/>
                <w:bCs/>
                <w:color w:val="1A1A1A"/>
                <w:sz w:val="17"/>
                <w:szCs w:val="17"/>
                <w:highlight w:val="yellow"/>
                <w:highlightCs w:val="yellow"/>
              </w:rPr>
              <w:t xml:space="preserve">[PLACEHOLDER: revenue targets]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Scale to full volume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Handles about 3,000 CT studies a month at full volume (a dedicated PC and more storage are expected at that point)</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5. Scope</w:t>
      </w:r>
    </w:p>
    <w:p>
      <w:pPr>
        <w:pStyle w:val="Heading2"/>
        <w:keepNext/>
        <w:spacing w:after="90" w:before="200"/>
      </w:pPr>
      <w:r>
        <w:rPr>
          <w:rFonts w:ascii="Arial" w:cs="Arial" w:eastAsia="Arial" w:hAnsi="Arial"/>
          <w:b/>
          <w:bCs/>
          <w:color w:val="1A1A1A"/>
          <w:sz w:val="23"/>
          <w:szCs w:val="23"/>
        </w:rPr>
        <w:t xml:space="preserve">5.1 In scope</w:t>
      </w:r>
    </w:p>
    <w:p>
      <w:pPr>
        <w:pStyle w:val="ListParagraph"/>
        <w:numPr>
          <w:ilvl w:val="0"/>
          <w:numId w:val="2"/>
        </w:numPr>
        <w:spacing w:after="70" w:line="264"/>
      </w:pPr>
      <w:r>
        <w:rPr>
          <w:rFonts w:ascii="Arial" w:cs="Arial" w:eastAsia="Arial" w:hAnsi="Arial"/>
          <w:b w:val="false"/>
          <w:bCs w:val="false"/>
          <w:color w:val="1A1A1A"/>
          <w:sz w:val="20"/>
          <w:szCs w:val="20"/>
        </w:rPr>
        <w:t xml:space="preserve">Retrospective studies up to the EC-approved cut-off date, and later studies with a recorded patient consent flag.</w:t>
      </w:r>
    </w:p>
    <w:p>
      <w:pPr>
        <w:pStyle w:val="ListParagraph"/>
        <w:numPr>
          <w:ilvl w:val="0"/>
          <w:numId w:val="2"/>
        </w:numPr>
        <w:spacing w:after="70" w:line="264"/>
      </w:pPr>
      <w:r>
        <w:rPr>
          <w:rFonts w:ascii="Arial" w:cs="Arial" w:eastAsia="Arial" w:hAnsi="Arial"/>
          <w:b w:val="false"/>
          <w:bCs w:val="false"/>
          <w:color w:val="1A1A1A"/>
          <w:sz w:val="20"/>
          <w:szCs w:val="20"/>
        </w:rPr>
        <w:t xml:space="preserve">Modalities: CT, MRI, digital radiography (CR/DX), mammography, DEXA, CBCT (held back until defacing), non-obstetric and non-pelvic ultrasound.</w:t>
      </w:r>
    </w:p>
    <w:p>
      <w:pPr>
        <w:pStyle w:val="ListParagraph"/>
        <w:numPr>
          <w:ilvl w:val="0"/>
          <w:numId w:val="2"/>
        </w:numPr>
        <w:spacing w:after="70" w:line="264"/>
      </w:pPr>
      <w:r>
        <w:rPr>
          <w:rFonts w:ascii="Arial" w:cs="Arial" w:eastAsia="Arial" w:hAnsi="Arial"/>
          <w:b w:val="false"/>
          <w:bCs w:val="false"/>
          <w:color w:val="1A1A1A"/>
          <w:sz w:val="20"/>
          <w:szCs w:val="20"/>
        </w:rPr>
        <w:t xml:space="preserve">Reports in .txt, .docx and .pdf (text layer or scanned).</w:t>
      </w:r>
    </w:p>
    <w:p>
      <w:pPr>
        <w:pStyle w:val="ListParagraph"/>
        <w:numPr>
          <w:ilvl w:val="0"/>
          <w:numId w:val="2"/>
        </w:numPr>
        <w:spacing w:after="70" w:line="264"/>
      </w:pPr>
      <w:r>
        <w:rPr>
          <w:rFonts w:ascii="Arial" w:cs="Arial" w:eastAsia="Arial" w:hAnsi="Arial"/>
          <w:b w:val="false"/>
          <w:bCs w:val="false"/>
          <w:color w:val="1A1A1A"/>
          <w:sz w:val="20"/>
          <w:szCs w:val="20"/>
        </w:rPr>
        <w:t xml:space="preserve">On-site processing on a centre computer from an export folder.</w:t>
      </w:r>
    </w:p>
    <w:p>
      <w:pPr>
        <w:pStyle w:val="ListParagraph"/>
        <w:numPr>
          <w:ilvl w:val="0"/>
          <w:numId w:val="2"/>
        </w:numPr>
        <w:spacing w:after="70" w:line="264"/>
      </w:pPr>
      <w:r>
        <w:rPr>
          <w:rFonts w:ascii="Arial" w:cs="Arial" w:eastAsia="Arial" w:hAnsi="Arial"/>
          <w:b w:val="false"/>
          <w:bCs w:val="false"/>
          <w:color w:val="1A1A1A"/>
          <w:sz w:val="20"/>
          <w:szCs w:val="20"/>
        </w:rPr>
        <w:t xml:space="preserve">Governance: ethics configuration, patient lists, licensee register, release gate, re-identification test records, breach log, EC reporting.</w:t>
      </w:r>
    </w:p>
    <w:p>
      <w:pPr>
        <w:pStyle w:val="ListParagraph"/>
        <w:numPr>
          <w:ilvl w:val="0"/>
          <w:numId w:val="2"/>
        </w:numPr>
        <w:spacing w:after="70" w:line="264"/>
      </w:pPr>
      <w:r>
        <w:rPr>
          <w:rFonts w:ascii="Arial" w:cs="Arial" w:eastAsia="Arial" w:hAnsi="Arial"/>
          <w:b w:val="false"/>
          <w:bCs w:val="false"/>
          <w:color w:val="1A1A1A"/>
          <w:sz w:val="20"/>
          <w:szCs w:val="20"/>
        </w:rPr>
        <w:t xml:space="preserve">Release exports (data) and catalogue exports (aggregate metadata for marketplaces).</w:t>
      </w:r>
    </w:p>
    <w:p>
      <w:pPr>
        <w:pStyle w:val="Heading2"/>
        <w:keepNext/>
        <w:spacing w:after="90" w:before="200"/>
      </w:pPr>
      <w:r>
        <w:rPr>
          <w:rFonts w:ascii="Arial" w:cs="Arial" w:eastAsia="Arial" w:hAnsi="Arial"/>
          <w:b/>
          <w:bCs/>
          <w:color w:val="1A1A1A"/>
          <w:sz w:val="23"/>
          <w:szCs w:val="23"/>
        </w:rPr>
        <w:t xml:space="preserve">5.2 Out of scope (this release)</w:t>
      </w:r>
    </w:p>
    <w:p>
      <w:pPr>
        <w:pStyle w:val="ListParagraph"/>
        <w:numPr>
          <w:ilvl w:val="0"/>
          <w:numId w:val="2"/>
        </w:numPr>
        <w:spacing w:after="70" w:line="264"/>
      </w:pPr>
      <w:r>
        <w:rPr>
          <w:rFonts w:ascii="Arial" w:cs="Arial" w:eastAsia="Arial" w:hAnsi="Arial"/>
          <w:b w:val="false"/>
          <w:bCs w:val="false"/>
          <w:color w:val="1A1A1A"/>
          <w:sz w:val="20"/>
          <w:szCs w:val="20"/>
        </w:rPr>
        <w:t xml:space="preserve">PACS / DICOMweb integration and cloud storage.</w:t>
      </w:r>
    </w:p>
    <w:p>
      <w:pPr>
        <w:pStyle w:val="ListParagraph"/>
        <w:numPr>
          <w:ilvl w:val="0"/>
          <w:numId w:val="2"/>
        </w:numPr>
        <w:spacing w:after="70" w:line="264"/>
      </w:pPr>
      <w:r>
        <w:rPr>
          <w:rFonts w:ascii="Arial" w:cs="Arial" w:eastAsia="Arial" w:hAnsi="Arial"/>
          <w:b w:val="false"/>
          <w:bCs w:val="false"/>
          <w:color w:val="1A1A1A"/>
          <w:sz w:val="20"/>
          <w:szCs w:val="20"/>
        </w:rPr>
        <w:t xml:space="preserve">Annotation tooling (Tier 2 annotation uses OHIF or similar, fed only by de-identified releases).</w:t>
      </w:r>
    </w:p>
    <w:p>
      <w:pPr>
        <w:pStyle w:val="ListParagraph"/>
        <w:numPr>
          <w:ilvl w:val="0"/>
          <w:numId w:val="2"/>
        </w:numPr>
        <w:spacing w:after="70" w:line="264"/>
      </w:pPr>
      <w:r>
        <w:rPr>
          <w:rFonts w:ascii="Arial" w:cs="Arial" w:eastAsia="Arial" w:hAnsi="Arial"/>
          <w:b w:val="false"/>
          <w:bCs w:val="false"/>
          <w:color w:val="1A1A1A"/>
          <w:sz w:val="20"/>
          <w:szCs w:val="20"/>
        </w:rPr>
        <w:t xml:space="preserve">Payments, pricing and buyer portals.</w:t>
      </w:r>
    </w:p>
    <w:p>
      <w:pPr>
        <w:pStyle w:val="ListParagraph"/>
        <w:numPr>
          <w:ilvl w:val="0"/>
          <w:numId w:val="2"/>
        </w:numPr>
        <w:spacing w:after="70" w:line="264"/>
      </w:pPr>
      <w:r>
        <w:rPr>
          <w:rFonts w:ascii="Arial" w:cs="Arial" w:eastAsia="Arial" w:hAnsi="Arial"/>
          <w:b w:val="false"/>
          <w:bCs w:val="false"/>
          <w:color w:val="1A1A1A"/>
          <w:sz w:val="20"/>
          <w:szCs w:val="20"/>
        </w:rPr>
        <w:t xml:space="preserve">Defacing of face-bearing scans (a future phase; these scans are held back until then).</w:t>
      </w:r>
    </w:p>
    <w:p>
      <w:pPr>
        <w:pStyle w:val="ListParagraph"/>
        <w:numPr>
          <w:ilvl w:val="0"/>
          <w:numId w:val="2"/>
        </w:numPr>
        <w:spacing w:after="70" w:line="264"/>
      </w:pPr>
      <w:r>
        <w:rPr>
          <w:rFonts w:ascii="Arial" w:cs="Arial" w:eastAsia="Arial" w:hAnsi="Arial"/>
          <w:b w:val="false"/>
          <w:bCs w:val="false"/>
          <w:color w:val="1A1A1A"/>
          <w:sz w:val="20"/>
          <w:szCs w:val="20"/>
        </w:rPr>
        <w:t xml:space="preserve">Dental product line (Addendum A) until confirmed in the discovery audit.</w:t>
      </w:r>
    </w:p>
    <w:p>
      <w:pPr>
        <w:pStyle w:val="Heading1"/>
        <w:keepNext/>
        <w:pBdr>
          <w:bottom w:val="single" w:color="BFBFBF" w:sz="6" w:space="4"/>
        </w:pBdr>
        <w:spacing w:after="130" w:before="300"/>
      </w:pPr>
      <w:r>
        <w:rPr>
          <w:rFonts w:ascii="Arial" w:cs="Arial" w:eastAsia="Arial" w:hAnsi="Arial"/>
          <w:b/>
          <w:bCs/>
          <w:color w:val="1A1A1A"/>
          <w:sz w:val="28"/>
          <w:szCs w:val="28"/>
        </w:rPr>
        <w:t xml:space="preserve">6. Business requirements</w:t>
      </w:r>
    </w:p>
    <w:p>
      <w:pPr>
        <w:spacing w:after="110" w:line="276"/>
      </w:pPr>
      <w:r>
        <w:rPr>
          <w:rFonts w:ascii="Arial" w:cs="Arial" w:eastAsia="Arial" w:hAnsi="Arial"/>
          <w:b w:val="false"/>
          <w:bCs w:val="false"/>
          <w:color w:val="1A1A1A"/>
          <w:sz w:val="20"/>
          <w:szCs w:val="20"/>
        </w:rPr>
        <w:t xml:space="preserve">Priority: M = must have for the first release; S = should have; C = could have. Sources: Pitch = Business Pitch v3 slide; EC = protocol v0.2 section; SPEC = build spec v0.1 section; A01 = spec amendment 01.</w:t>
      </w:r>
    </w:p>
    <w:p>
      <w:pPr>
        <w:pStyle w:val="Heading2"/>
        <w:keepNext/>
        <w:spacing w:after="90" w:before="200"/>
      </w:pPr>
      <w:r>
        <w:rPr>
          <w:rFonts w:ascii="Arial" w:cs="Arial" w:eastAsia="Arial" w:hAnsi="Arial"/>
          <w:b/>
          <w:bCs/>
          <w:color w:val="1A1A1A"/>
          <w:sz w:val="23"/>
          <w:szCs w:val="23"/>
        </w:rPr>
        <w:t xml:space="preserve">6.1 Data intake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BR-01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staff export studies and reports to a folder as a routine end-of-day or weekly task. The system must not connect to PACS or RIS or change their workflow.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7; EC §4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BR-02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The system is a standalone desktop application on one centre computer (Windows 10/11 or macOS 13+), offline, with no software licence cost. It is not a SaaS or cloud service, because it processes identifiable patient data.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7; ethics pack</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BR-03</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All listed modalities are supported, each with the acquisition fields buyers need.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§1; A01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BR-04</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Studies already processed are recognised and not duplicated. New images for a known study create a new version.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SPEC §4</w:t>
            </w:r>
          </w:p>
        </w:tc>
      </w:tr>
    </w:tbl>
    <w:p>
      <w:pPr>
        <w:pStyle w:val="Heading2"/>
        <w:keepNext/>
        <w:spacing w:after="90" w:before="200"/>
      </w:pPr>
      <w:r>
        <w:rPr>
          <w:rFonts w:ascii="Arial" w:cs="Arial" w:eastAsia="Arial" w:hAnsi="Arial"/>
          <w:b/>
          <w:bCs/>
          <w:color w:val="1A1A1A"/>
          <w:sz w:val="23"/>
          <w:szCs w:val="23"/>
        </w:rPr>
        <w:t xml:space="preserve">6.2 De-identification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Released files contain only approved DICOM fields: 54 core, a modality profile and 15 generated fields. Everything else is dropped.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12, 16; EC §6.1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Patients receive consistent codes, so follow-up studies stay linked and buyers can split by patient. The key stays at the centre and is never shipped. Released data is described as pseudonymised, not anonymised.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3, 4, 12; EC §6.2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Dates are shifted per patient, keeping intervals. Clock times are removed. Age replaces date of birth and is capped at 90.</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3; EC §6.3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BR-13</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Burned-in text is masked, keeping laterality markers. Images whose text cannot be cleared are never released.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12, 13; EC §6.4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BR-14</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Reports are released only when matched to their study, with identifiers removed and findings text kept unchanged.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3; EC §6.6</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BR-15</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Face-bearing scans (head/neck CT and MRI, CBCT, cephalograms) are held back until validated defacing exists.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13; EC §6.5</w:t>
            </w:r>
          </w:p>
        </w:tc>
      </w:tr>
    </w:tbl>
    <w:p>
      <w:pPr>
        <w:pStyle w:val="Heading2"/>
        <w:keepNext/>
        <w:spacing w:after="90" w:before="200"/>
      </w:pPr>
      <w:r>
        <w:rPr>
          <w:rFonts w:ascii="Arial" w:cs="Arial" w:eastAsia="Arial" w:hAnsi="Arial"/>
          <w:b/>
          <w:bCs/>
          <w:color w:val="1A1A1A"/>
          <w:sz w:val="23"/>
          <w:szCs w:val="23"/>
        </w:rPr>
        <w:t xml:space="preserve">6.3 Ethics and consent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Only studies inside the EC-approved cohort are processed: the archive start date up to the waiver cut-off, all listed modalities, capped at about [N] images. Any extension requires an EC amendment.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§1, §5.1, §9.2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Studies after the cut-off date are included only when the patient answered Yes to the separate AI-use consent question at registration. This consent process is part of the first ethics application; the cut-off date is the day the approved question goes live.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§9.2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Excluded: under-18s; obstetric and pelvic ultrasound; medico-legal and police cases; staff, VIPs and public figures; sensitive referrals (HIV, psychiatric, forensic, de-addiction); face-bearing scans; uncleared burned-in text; dose screens and screen captures; opt-outs.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13; EC §5.2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BR-23</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public notice (reception, waiting areas and website; SMS to past patients or a newspaper notice only if the committee requires it) runs for 60–90 days before the first release. Opt-outs are honoured before every release, including removal from all future releases.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14; EC §9.3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BR-24</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Before each release, any group of fewer than 5 patients sharing age band, sex, body part, year and finding is withheld.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13; EC §6.8</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BR-25</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An independent tester attempts re-identification on 50–100 released cases before the first release and before the first release of each new modality. A failure blocks release.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14; EC §6.8</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BR-26</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The EC is notified before a new licensee first receives data and receives an annual report of all releases.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§8.5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BR-27</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Any change to the field allowlist, exclusion rules, licence terms or cohort scope is controlled, versioned and, where it loosens protection, needs an EC amendment first.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§6.1, §8.5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BR-28</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 real patient data is exported, de-identified, tested or shared before the ethics committee’s written approval is recorded. Until then only synthetic data may be used, and the software enforces this.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Guide slide 10; docs 04, 05</w:t>
            </w:r>
          </w:p>
        </w:tc>
      </w:tr>
    </w:tbl>
    <w:p>
      <w:pPr>
        <w:pStyle w:val="Heading2"/>
        <w:keepNext/>
        <w:spacing w:after="90" w:before="200"/>
      </w:pPr>
      <w:r>
        <w:rPr>
          <w:rFonts w:ascii="Arial" w:cs="Arial" w:eastAsia="Arial" w:hAnsi="Arial"/>
          <w:b/>
          <w:bCs/>
          <w:color w:val="1A1A1A"/>
          <w:sz w:val="23"/>
          <w:szCs w:val="23"/>
        </w:rPr>
        <w:t xml:space="preserve">6.4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BR-30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Every file passes automated checks. A human reviews at least 10% of each batch (the build spec reviews every record, which exceeds this). A batch leaves only when both pass.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7, 15; EC §6.7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BR-31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Each release carries an evidence pack: manifest, ledger, QA report and signed review sheet.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4, 15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BR-32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Reviewers can exclude a record for an ethics reason (for example a visible pregnancy or face, or a recognisable person) separately from rejecting it for a quality reason.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§5.2</w:t>
            </w:r>
          </w:p>
        </w:tc>
      </w:tr>
    </w:tbl>
    <w:p>
      <w:pPr>
        <w:pStyle w:val="Heading2"/>
        <w:keepNext/>
        <w:spacing w:after="90" w:before="200"/>
      </w:pPr>
      <w:r>
        <w:rPr>
          <w:rFonts w:ascii="Arial" w:cs="Arial" w:eastAsia="Arial" w:hAnsi="Arial"/>
          <w:b/>
          <w:bCs/>
          <w:color w:val="1A1A1A"/>
          <w:sz w:val="23"/>
          <w:szCs w:val="23"/>
        </w:rPr>
        <w:t xml:space="preserve">6.5 Licensing and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All licences are non-exclusive and for training and validation only, with no re-identification, no onward sale, audit and deletion rights, and indemnity.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8; EC §8.3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Every licensee and release is approved by the DAC. The consultant is not a voting member.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§8.2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Marketplaces receive aggregate catalogue information only, never data, until the DAC approves a licensee.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§8.1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BR-43</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licensee register records channel, purpose, approvals, EC notice, licence expiry and deletion certificate.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§8.5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BR-44</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 release can be produced unless every ethics and approval precondition is met (the release gate).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§6.9</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BR-45</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Custom curation lets a buyer request a cohort, provided it lies within the approved scope.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8; EC §8.1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BR-46</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Tier 2 annotators work only on de-identified releases under a confidentiality undertaking.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6; EC §8.4</w:t>
            </w:r>
          </w:p>
        </w:tc>
      </w:tr>
    </w:tbl>
    <w:p>
      <w:pPr>
        <w:pStyle w:val="Heading2"/>
        <w:keepNext/>
        <w:spacing w:after="90" w:before="200"/>
      </w:pPr>
      <w:r>
        <w:rPr>
          <w:rFonts w:ascii="Arial" w:cs="Arial" w:eastAsia="Arial" w:hAnsi="Arial"/>
          <w:b/>
          <w:bCs/>
          <w:color w:val="1A1A1A"/>
          <w:sz w:val="23"/>
          <w:szCs w:val="23"/>
        </w:rPr>
        <w:t xml:space="preserve">6.6 Governance, security and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Only the centre custodian can back up or rotate the key, import patient lists, or record ethics and DAC approvals.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4; EC §7, §8.2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Separation of duties: nobody approves their own job, and nobody can bypass the release gate.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SPEC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tamper-evident audit trail covers every job, approval, exclusion, list import, release and key action.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SPEC §7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BR-53</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Breaches are logged, and the EC is notified within 72 hours of discovery.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BR-54</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Originals, the key and the ledger never leave the centre. Only QA-passed, gate-approved batches leave.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4; EC §4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BR-55</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The system produces the annual EC report without manual collation.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§8.5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BR-56</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Junior IT staff can install, back up, update and check the system on Windows or macOS by following numbered, one-at-a-time instructions, with no database server to install.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Owner, 26 Sep 2026</w:t>
            </w:r>
          </w:p>
        </w:tc>
      </w:tr>
    </w:tbl>
    <w:p>
      <w:pPr>
        <w:pStyle w:val="Heading2"/>
        <w:keepNext/>
        <w:spacing w:after="90" w:before="200"/>
      </w:pPr>
      <w:r>
        <w:rPr>
          <w:rFonts w:ascii="Arial" w:cs="Arial" w:eastAsia="Arial" w:hAnsi="Arial"/>
          <w:b/>
          <w:bCs/>
          <w:color w:val="1A1A1A"/>
          <w:sz w:val="23"/>
          <w:szCs w:val="23"/>
        </w:rPr>
        <w:t xml:space="preserve">6.7 Legal and regulatory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376"/>
        <w:gridCol w:w="700"/>
        <w:gridCol w:w="1800"/>
      </w:tblGrid>
      <w:tr>
        <w:trPr>
          <w:cantSplit/>
          <w:tblHeader/>
        </w:trPr>
        <w:tc>
          <w:tcPr>
            <w:tcW w:type="dxa" w:w="115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ID</w:t>
            </w:r>
          </w:p>
        </w:tc>
        <w:tc>
          <w:tcPr>
            <w:tcW w:type="dxa" w:w="537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Requirement</w:t>
            </w:r>
          </w:p>
        </w:tc>
        <w:tc>
          <w:tcPr>
            <w:tcW w:type="dxa" w:w="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Pri.</w:t>
            </w:r>
          </w:p>
        </w:tc>
        <w:tc>
          <w:tcPr>
            <w:tcW w:type="dxa" w:w="1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Source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BR-60</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The programme is designed around the DPDP Act 2023 and Rules 2025 (purpose, notice, security, breach readiness). A written legal opinion is obtained before the first release. EC approval is not treated as the lawful basis.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Pitch 12; EC §13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BR-61</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PC-PNDT: obstetric and pelvic ultrasound are excluded, and reviewers confirm that no pregnancy is visible on abdominal ultrasound in women.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§5.2; A01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rPr>
              <w:t xml:space="preserve">BR-62</w:t>
            </w:r>
          </w:p>
        </w:tc>
        <w:tc>
          <w:tcPr>
            <w:tcW w:type="dxa" w:w="5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Benefit sharing: a defined share of licence revenue goes to a patient-community fund </w:t>
            </w:r>
            <w:r>
              <w:rPr>
                <w:rFonts w:ascii="Arial" w:cs="Arial" w:eastAsia="Arial" w:hAnsi="Arial"/>
                <w:b/>
                <w:bCs/>
                <w:color w:val="1A1A1A"/>
                <w:sz w:val="17"/>
                <w:szCs w:val="17"/>
                <w:highlight w:val="yellow"/>
                <w:highlightCs w:val="yellow"/>
              </w:rPr>
              <w:t xml:space="preserve">[PLACEHOLDER: %, fund]</w:t>
            </w:r>
            <w:r>
              <w:rPr>
                <w:rFonts w:ascii="Arial" w:cs="Arial" w:eastAsia="Arial" w:hAnsi="Arial"/>
                <w:b w:val="false"/>
                <w:bCs w:val="false"/>
                <w:color w:val="1A1A1A"/>
                <w:sz w:val="17"/>
                <w:szCs w:val="17"/>
              </w:rPr>
              <w:t xml:space="preserve">. Stated in the EC protocol only, not the pitch.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§11</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7.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26"/>
      </w:tblGrid>
      <w:tr>
        <w:trPr>
          <w:cantSplit/>
          <w:tblHeader/>
        </w:trPr>
        <w:tc>
          <w:tcPr>
            <w:tcW w:type="dxa" w:w="35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Rule</w:t>
            </w:r>
          </w:p>
        </w:tc>
        <w:tc>
          <w:tcPr>
            <w:tcW w:type="dxa" w:w="32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Value</w:t>
            </w:r>
          </w:p>
        </w:tc>
        <w:tc>
          <w:tcPr>
            <w:tcW w:type="dxa" w:w="23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Configurable?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Minimum group size (small-group suppression)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5 patients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Can be raised, never lowered below 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Opt-out notice window before first release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60–90 days </w:t>
            </w:r>
            <w:r>
              <w:rPr>
                <w:rFonts w:ascii="Arial" w:cs="Arial" w:eastAsia="Arial" w:hAnsi="Arial"/>
                <w:b/>
                <w:bCs/>
                <w:color w:val="1A1A1A"/>
                <w:sz w:val="17"/>
                <w:szCs w:val="17"/>
                <w:highlight w:val="yellow"/>
                <w:highlightCs w:val="yellow"/>
              </w:rPr>
              <w:t xml:space="preserve">[PLACEHOLDER: exact]</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Yes, within 60–90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Age exclusion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Under 18 at study date; unknown age = excluded</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Age cap in released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90 and over shown as 90</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Date shift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Same random 1–365 days back for every study of a patient</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Mode fixed to shift for this protocol</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Human QA sample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At least 10% per batch (build spec: every record)</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Can be raised, not lowered</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Re-identification test sample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50–100 released cases per first release and per new modality</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Within range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Cohort cap (first approval)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About [N] images (first site: about 5,000) </w:t>
            </w:r>
            <w:r>
              <w:rPr>
                <w:rFonts w:ascii="Arial" w:cs="Arial" w:eastAsia="Arial" w:hAnsi="Arial"/>
                <w:b/>
                <w:bCs/>
                <w:color w:val="1A1A1A"/>
                <w:sz w:val="17"/>
                <w:szCs w:val="17"/>
                <w:highlight w:val="yellow"/>
                <w:highlightCs w:val="yellow"/>
              </w:rPr>
              <w:t xml:space="preserve">[CONFIRM: unit]</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Only via a new EC approval reference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EC breach notification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Within 72 hours of discovery</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Licensee breach notification to the centre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bCs/>
                <w:color w:val="1A1A1A"/>
                <w:sz w:val="17"/>
                <w:szCs w:val="17"/>
                <w:highlight w:val="yellow"/>
                <w:highlightCs w:val="yellow"/>
              </w:rPr>
              <w:t xml:space="preserve">[PLACEHOLDER: 24 hours]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Per licence</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8. Assumptions, constraints and dependencies</w:t>
      </w:r>
    </w:p>
    <w:p>
      <w:pPr>
        <w:pStyle w:val="Heading2"/>
        <w:keepNext/>
        <w:spacing w:after="90" w:before="200"/>
      </w:pPr>
      <w:r>
        <w:rPr>
          <w:rFonts w:ascii="Arial" w:cs="Arial" w:eastAsia="Arial" w:hAnsi="Arial"/>
          <w:b/>
          <w:bCs/>
          <w:color w:val="1A1A1A"/>
          <w:sz w:val="23"/>
          <w:szCs w:val="23"/>
        </w:rPr>
        <w:t xml:space="preserve">Assumptions</w:t>
      </w:r>
    </w:p>
    <w:p>
      <w:pPr>
        <w:pStyle w:val="ListParagraph"/>
        <w:numPr>
          <w:ilvl w:val="0"/>
          <w:numId w:val="2"/>
        </w:numPr>
        <w:spacing w:after="70" w:line="264"/>
      </w:pPr>
      <w:r>
        <w:rPr>
          <w:rFonts w:ascii="Arial" w:cs="Arial" w:eastAsia="Arial" w:hAnsi="Arial"/>
          <w:b w:val="false"/>
          <w:bCs w:val="false"/>
          <w:color w:val="1A1A1A"/>
          <w:sz w:val="20"/>
          <w:szCs w:val="20"/>
        </w:rPr>
        <w:t xml:space="preserve">Centre staff can export DICOM and reports to a folder for every modality.</w:t>
      </w:r>
    </w:p>
    <w:p>
      <w:pPr>
        <w:pStyle w:val="ListParagraph"/>
        <w:numPr>
          <w:ilvl w:val="0"/>
          <w:numId w:val="2"/>
        </w:numPr>
        <w:spacing w:after="70" w:line="264"/>
      </w:pPr>
      <w:r>
        <w:rPr>
          <w:rFonts w:ascii="Arial" w:cs="Arial" w:eastAsia="Arial" w:hAnsi="Arial"/>
          <w:b w:val="false"/>
          <w:bCs w:val="false"/>
          <w:color w:val="1A1A1A"/>
          <w:sz w:val="20"/>
          <w:szCs w:val="20"/>
        </w:rPr>
        <w:t xml:space="preserve">Most archive records have no mobile number, so re-consent is impracticable (the basis of the waiver).</w:t>
      </w:r>
    </w:p>
    <w:p>
      <w:pPr>
        <w:pStyle w:val="ListParagraph"/>
        <w:numPr>
          <w:ilvl w:val="0"/>
          <w:numId w:val="2"/>
        </w:numPr>
        <w:spacing w:after="70" w:line="264"/>
      </w:pPr>
      <w:r>
        <w:rPr>
          <w:rFonts w:ascii="Arial" w:cs="Arial" w:eastAsia="Arial" w:hAnsi="Arial"/>
          <w:b w:val="false"/>
          <w:bCs w:val="false"/>
          <w:color w:val="1A1A1A"/>
          <w:sz w:val="20"/>
          <w:szCs w:val="20"/>
        </w:rPr>
        <w:t xml:space="preserve">Buyers accept pseudonymised data with patient-level codes.</w:t>
      </w:r>
    </w:p>
    <w:p>
      <w:pPr>
        <w:pStyle w:val="Heading2"/>
        <w:keepNext/>
        <w:spacing w:after="90" w:before="200"/>
      </w:pPr>
      <w:r>
        <w:rPr>
          <w:rFonts w:ascii="Arial" w:cs="Arial" w:eastAsia="Arial" w:hAnsi="Arial"/>
          <w:b/>
          <w:bCs/>
          <w:color w:val="1A1A1A"/>
          <w:sz w:val="23"/>
          <w:szCs w:val="23"/>
        </w:rPr>
        <w:t xml:space="preserve">Constraints</w:t>
      </w:r>
    </w:p>
    <w:p>
      <w:pPr>
        <w:pStyle w:val="ListParagraph"/>
        <w:numPr>
          <w:ilvl w:val="0"/>
          <w:numId w:val="2"/>
        </w:numPr>
        <w:spacing w:after="70" w:line="264"/>
      </w:pPr>
      <w:r>
        <w:rPr>
          <w:rFonts w:ascii="Arial" w:cs="Arial" w:eastAsia="Arial" w:hAnsi="Arial"/>
          <w:b w:val="false"/>
          <w:bCs w:val="false"/>
          <w:color w:val="1A1A1A"/>
          <w:sz w:val="20"/>
          <w:szCs w:val="20"/>
        </w:rPr>
        <w:t xml:space="preserve">Existing PC for the pilot; offline operation.</w:t>
      </w:r>
    </w:p>
    <w:p>
      <w:pPr>
        <w:pStyle w:val="ListParagraph"/>
        <w:numPr>
          <w:ilvl w:val="0"/>
          <w:numId w:val="2"/>
        </w:numPr>
        <w:spacing w:after="70" w:line="264"/>
      </w:pPr>
      <w:r>
        <w:rPr>
          <w:rFonts w:ascii="Arial" w:cs="Arial" w:eastAsia="Arial" w:hAnsi="Arial"/>
          <w:b w:val="false"/>
          <w:bCs w:val="false"/>
          <w:color w:val="1A1A1A"/>
          <w:sz w:val="20"/>
          <w:szCs w:val="20"/>
        </w:rPr>
        <w:t xml:space="preserve">EC approval and the opt-out window must complete before any release.</w:t>
      </w:r>
    </w:p>
    <w:p>
      <w:pPr>
        <w:pStyle w:val="ListParagraph"/>
        <w:numPr>
          <w:ilvl w:val="0"/>
          <w:numId w:val="2"/>
        </w:numPr>
        <w:spacing w:after="70" w:line="264"/>
      </w:pPr>
      <w:r>
        <w:rPr>
          <w:rFonts w:ascii="Arial" w:cs="Arial" w:eastAsia="Arial" w:hAnsi="Arial"/>
          <w:b w:val="false"/>
          <w:bCs w:val="false"/>
          <w:color w:val="1A1A1A"/>
          <w:sz w:val="20"/>
          <w:szCs w:val="20"/>
        </w:rPr>
        <w:t xml:space="preserve">Standalone desktop on Windows 10/11 or macOS 13+ (not SaaS); Python 3.12 in a private environment; SQLite embedded, no database server. Every documented command given for PowerShell and macOS Terminal.</w:t>
      </w:r>
    </w:p>
    <w:p>
      <w:pPr>
        <w:pStyle w:val="Heading2"/>
        <w:keepNext/>
        <w:spacing w:after="90" w:before="200"/>
      </w:pPr>
      <w:r>
        <w:rPr>
          <w:rFonts w:ascii="Arial" w:cs="Arial" w:eastAsia="Arial" w:hAnsi="Arial"/>
          <w:b/>
          <w:bCs/>
          <w:color w:val="1A1A1A"/>
          <w:sz w:val="23"/>
          <w:szCs w:val="23"/>
        </w:rPr>
        <w:t xml:space="preserve">Dependencies</w:t>
      </w:r>
    </w:p>
    <w:p>
      <w:pPr>
        <w:pStyle w:val="ListParagraph"/>
        <w:numPr>
          <w:ilvl w:val="0"/>
          <w:numId w:val="2"/>
        </w:numPr>
        <w:spacing w:after="70" w:line="264"/>
      </w:pPr>
      <w:r>
        <w:rPr>
          <w:rFonts w:ascii="Arial" w:cs="Arial" w:eastAsia="Arial" w:hAnsi="Arial"/>
          <w:b w:val="false"/>
          <w:bCs w:val="false"/>
          <w:color w:val="1A1A1A"/>
          <w:sz w:val="20"/>
          <w:szCs w:val="20"/>
        </w:rPr>
        <w:t xml:space="preserve">A registered EC: CDSCO ECR and DHR/NECRBHR </w:t>
      </w:r>
      <w:r>
        <w:rPr>
          <w:rFonts w:ascii="Arial" w:cs="Arial" w:eastAsia="Arial" w:hAnsi="Arial"/>
          <w:b/>
          <w:bCs/>
          <w:color w:val="1A1A1A"/>
          <w:sz w:val="20"/>
          <w:szCs w:val="20"/>
          <w:highlight w:val="yellow"/>
          <w:highlightCs w:val="yellow"/>
        </w:rPr>
        <w:t xml:space="preserve">[PLACEHOLDER: EC name]</w:t>
      </w:r>
      <w:r>
        <w:rPr>
          <w:rFonts w:ascii="Arial" w:cs="Arial" w:eastAsia="Arial" w:hAnsi="Arial"/>
          <w:b w:val="false"/>
          <w:bCs w:val="false"/>
          <w:color w:val="1A1A1A"/>
          <w:sz w:val="20"/>
          <w:szCs w:val="20"/>
        </w:rPr>
        <w:t xml:space="preserve">.</w:t>
      </w:r>
    </w:p>
    <w:p>
      <w:pPr>
        <w:pStyle w:val="ListParagraph"/>
        <w:numPr>
          <w:ilvl w:val="0"/>
          <w:numId w:val="2"/>
        </w:numPr>
        <w:spacing w:after="70" w:line="264"/>
      </w:pPr>
      <w:r>
        <w:rPr>
          <w:rFonts w:ascii="Arial" w:cs="Arial" w:eastAsia="Arial" w:hAnsi="Arial"/>
          <w:b w:val="false"/>
          <w:bCs w:val="false"/>
          <w:color w:val="1A1A1A"/>
          <w:sz w:val="20"/>
          <w:szCs w:val="20"/>
        </w:rPr>
        <w:t xml:space="preserve">The DPDP legal opinion.</w:t>
      </w:r>
    </w:p>
    <w:p>
      <w:pPr>
        <w:pStyle w:val="ListParagraph"/>
        <w:numPr>
          <w:ilvl w:val="0"/>
          <w:numId w:val="2"/>
        </w:numPr>
        <w:spacing w:after="70" w:line="264"/>
      </w:pPr>
      <w:r>
        <w:rPr>
          <w:rFonts w:ascii="Arial" w:cs="Arial" w:eastAsia="Arial" w:hAnsi="Arial"/>
          <w:b w:val="false"/>
          <w:bCs w:val="false"/>
          <w:color w:val="1A1A1A"/>
          <w:sz w:val="20"/>
          <w:szCs w:val="20"/>
        </w:rPr>
        <w:t xml:space="preserve">Discovery audit results: volumes, formats, report templates, consent-form wording, dental.</w:t>
      </w:r>
    </w:p>
    <w:p>
      <w:pPr>
        <w:pStyle w:val="ListParagraph"/>
        <w:numPr>
          <w:ilvl w:val="0"/>
          <w:numId w:val="2"/>
        </w:numPr>
        <w:spacing w:after="70" w:line="264"/>
      </w:pPr>
      <w:r>
        <w:rPr>
          <w:rFonts w:ascii="Arial" w:cs="Arial" w:eastAsia="Arial" w:hAnsi="Arial"/>
          <w:b w:val="false"/>
          <w:bCs w:val="false"/>
          <w:color w:val="1A1A1A"/>
          <w:sz w:val="20"/>
          <w:szCs w:val="20"/>
        </w:rPr>
        <w:t xml:space="preserve">Centre-supplied lists: staff/VIP, medico-legal, opt-out, consent.</w:t>
      </w:r>
    </w:p>
    <w:p>
      <w:pPr>
        <w:pStyle w:val="Heading1"/>
        <w:keepNext/>
        <w:pBdr>
          <w:bottom w:val="single" w:color="BFBFBF" w:sz="6" w:space="4"/>
        </w:pBdr>
        <w:spacing w:after="130" w:before="300"/>
      </w:pPr>
      <w:r>
        <w:rPr>
          <w:rFonts w:ascii="Arial" w:cs="Arial" w:eastAsia="Arial" w:hAnsi="Arial"/>
          <w:b/>
          <w:bCs/>
          <w:color w:val="1A1A1A"/>
          <w:sz w:val="28"/>
          <w:szCs w:val="28"/>
        </w:rPr>
        <w:t xml:space="preserve">9. Business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cantSplit/>
          <w:tblHeader/>
        </w:trPr>
        <w:tc>
          <w:tcPr>
            <w:tcW w:type="dxa" w:w="28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Risk</w:t>
            </w:r>
          </w:p>
        </w:tc>
        <w:tc>
          <w:tcPr>
            <w:tcW w:type="dxa" w:w="2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Impact</w:t>
            </w:r>
          </w:p>
        </w:tc>
        <w:tc>
          <w:tcPr>
            <w:tcW w:type="dxa" w:w="35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Mitigation (BR)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 patient is re-identified from a release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Harm to patients; EC withdrawal; DPDP penalties; reputational loss</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BR-10 to BR-15, BR-22, BR-24, BR-25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Release outside the ethics approval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Approval void; programme stopped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BR-20, BR-26, BR-27, BR-44</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Controls promised to the EC are not built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Approval covers a process not being run</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BR-44 release gate; TRS verification before the first release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Consultant has access to the key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Undermines the pseudonymisation argument</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BR-50, BR-54</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Marketplace passes on data without approval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Uncontrolled onward use</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BR-42, BR-43</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 buyer demand at expected price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Revenue shortfall</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Non-exclusive model; Tier 2; custom curation </w:t>
            </w:r>
            <w:r>
              <w:rPr>
                <w:rFonts w:ascii="Arial" w:cs="Arial" w:eastAsia="Arial" w:hAnsi="Arial"/>
                <w:b/>
                <w:bCs/>
                <w:color w:val="1A1A1A"/>
                <w:sz w:val="17"/>
                <w:szCs w:val="17"/>
                <w:highlight w:val="yellow"/>
                <w:highlightCs w:val="yellow"/>
              </w:rPr>
              <w:t xml:space="preserve">[PLACEHOLDER: buyer quotes]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Under-estimated volume or throughput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Delays</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Discovery audit; scale path in Pitch 7</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10. 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026"/>
      </w:tblGrid>
      <w:tr>
        <w:trPr>
          <w:cantSplit/>
          <w:tblHeader/>
        </w:trPr>
        <w:tc>
          <w:tcPr>
            <w:tcW w:type="dxa" w:w="6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w:t>
            </w:r>
          </w:p>
        </w:tc>
        <w:tc>
          <w:tcPr>
            <w:tcW w:type="dxa" w:w="64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Decision</w:t>
            </w:r>
          </w:p>
        </w:tc>
        <w:tc>
          <w:tcPr>
            <w:tcW w:type="dxa" w:w="20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Owner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D1</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Cohort unit: images or studies; cohort size and split by modality</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 PI</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D2</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Archive start date and waiver cut-off date</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 PI</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D3</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Exact opt-out window (60–90 days); any extra notice the committee asks for</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D4</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Finding-category vocabulary used for small-group suppression</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PI / consultant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D5</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Opt-out matching keys (UHID only, or name + DOB / phone resolved by the custodian)</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custodian</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D6</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Defacing tool and validation method (future phase)</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Consultant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D7</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Modality profiles for mammography and DEXA</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Consultant / buyers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D8</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Benefit-sharing percentage and fund</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management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D9</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Review mode at full volume: every record, or a sampled mode of at least 10%</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 consultant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D10</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Revenue-share percentage and consultant day rate</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Centre / consultant</w:t>
            </w:r>
          </w:p>
        </w:tc>
      </w:tr>
    </w:tbl>
    <w:p>
      <w:pPr>
        <w:pStyle w:val="Heading1"/>
        <w:keepNext/>
        <w:pBdr>
          <w:bottom w:val="single" w:color="BFBFBF" w:sz="6" w:space="4"/>
        </w:pBdr>
        <w:spacing w:after="130" w:before="300"/>
      </w:pPr>
      <w:r>
        <w:rPr>
          <w:rFonts w:ascii="Arial" w:cs="Arial" w:eastAsia="Arial" w:hAnsi="Arial"/>
          <w:b/>
          <w:bCs/>
          <w:color w:val="1A1A1A"/>
          <w:sz w:val="28"/>
          <w:szCs w:val="28"/>
        </w:rPr>
        <w:t xml:space="preserve">11. Traceability to the TRS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BR</w:t>
            </w:r>
          </w:p>
        </w:tc>
        <w:tc>
          <w:tcPr>
            <w:tcW w:type="dxa" w:w="6626"/>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30"/>
            </w:pPr>
            <w:r>
              <w:rPr>
                <w:rFonts w:ascii="Arial" w:cs="Arial" w:eastAsia="Arial" w:hAnsi="Arial"/>
                <w:b/>
                <w:bCs/>
                <w:color w:val="1A1A1A"/>
                <w:sz w:val="17"/>
                <w:szCs w:val="17"/>
              </w:rPr>
              <w:t xml:space="preserve">Realised by (TRS-RAD-001)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BR-01 – BR-04</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TR-ING-01 – 04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BR-10 – BR-15</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TR-DEID-01 – 12, TR-RPT-01 – 04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BR-20 – BR-21</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TR-COH-01 – 04, TR-LIST-01 – 05</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BR-22</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TR-ELIG-01 – 10, TR-REV-02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BR-23</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TR-LIST-01 – 05, TR-WDR-01 – 03, TR-GATE-02/03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BR-24</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TR-SGS-01 – 04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BR-25</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TR-REID-01 – 03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BR-26, BR-55</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TR-LIC-04, TR-ECR-01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BR-27</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TR-CC-01 – 03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BR-28</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TR-COH-05 (pre-approval mode)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BR-30 – BR-32</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TR-QA-01 – 03, TR-REV-01 – 04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BR-40 – BR-46</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TR-LIC-01 – 05, TR-GATE-01 – 11, TR-CAT-01 – 02, TR-REL-01 – 03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BR-50 – BR-54</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TR-ROLE-01 – 04, TR-AUD-01, TR-BRCH-01 – 02, TR-SEC-01 – 03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BR-56</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TR-PLAT-01, TR-INST-01 – 04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BR-60 – BR-62</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Arial" w:cs="Arial" w:eastAsia="Arial" w:hAnsi="Arial"/>
                <w:b w:val="false"/>
                <w:bCs w:val="false"/>
                <w:color w:val="1A1A1A"/>
                <w:sz w:val="17"/>
                <w:szCs w:val="17"/>
              </w:rPr>
              <w:t xml:space="preserve">TR-GATE-01 (legal opinion flag), TR-ELIG-03, TR-REV-02</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BRD-RAD-001 v1.1 draft —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Arial" w:cs="Arial" w:eastAsia="Arial" w:hAnsi="Arial"/>
      <w:b/>
      <w:bCs/>
      <w:color w:val="1A1A1A"/>
      <w:sz w:val="28"/>
      <w:szCs w:val="28"/>
    </w:rPr>
  </w:style>
  <w:style w:type="paragraph" w:styleId="Heading2">
    <w:name w:val="Heading 2"/>
    <w:basedOn w:val="Normal"/>
    <w:next w:val="Normal"/>
    <w:pPr>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BRD-RAD-001 v1.1 draft</dc:title>
  <dc:creator>Aishwarya Dwivedi</dc:creator>
  <cp:lastModifiedBy>Un-named</cp:lastModifiedBy>
  <cp:revision>1</cp:revision>
  <dcterms:created xsi:type="dcterms:W3CDTF">2026-09-25T19:16:20.132Z</dcterms:created>
  <dcterms:modified xsi:type="dcterms:W3CDTF">2026-09-25T19:16:20.132Z</dcterms:modified>
</cp:coreProperties>
</file>

<file path=docProps/custom.xml><?xml version="1.0" encoding="utf-8"?>
<Properties xmlns="http://schemas.openxmlformats.org/officeDocument/2006/custom-properties" xmlns:vt="http://schemas.openxmlformats.org/officeDocument/2006/docPropsVTypes"/>
</file>