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F0094" w14:textId="77777777" w:rsidR="00271A87" w:rsidRDefault="00271A87"/>
    <w:p w14:paraId="59A61EC2" w14:textId="77777777" w:rsidR="00271A87" w:rsidRDefault="00271A87"/>
    <w:p w14:paraId="54F6CF05" w14:textId="77777777" w:rsidR="00271A87" w:rsidRDefault="00271A87"/>
    <w:p w14:paraId="1B70C4CA" w14:textId="77777777" w:rsidR="00271A87" w:rsidRDefault="00000000">
      <w:pPr>
        <w:jc w:val="center"/>
      </w:pPr>
      <w:r>
        <w:rPr>
          <w:b/>
        </w:rPr>
        <w:t>Governed Artificial Intelligence in Payment Integrity: A Strategic Framework for Cotiviti</w:t>
      </w:r>
    </w:p>
    <w:p w14:paraId="503A4848" w14:textId="77777777" w:rsidR="00271A87" w:rsidRDefault="00271A87"/>
    <w:p w14:paraId="66F3D642" w14:textId="77777777" w:rsidR="00271A87" w:rsidRDefault="00000000">
      <w:pPr>
        <w:jc w:val="center"/>
      </w:pPr>
      <w:r>
        <w:t>Prepared by: Aishwarya Pawar</w:t>
      </w:r>
    </w:p>
    <w:p w14:paraId="5C88B013" w14:textId="03D62D3D" w:rsidR="00865519" w:rsidRDefault="00865519">
      <w:pPr>
        <w:jc w:val="center"/>
      </w:pPr>
      <w:r>
        <w:t>Doctorate in Information Technology</w:t>
      </w:r>
    </w:p>
    <w:p w14:paraId="62755082" w14:textId="61DF1210" w:rsidR="00865519" w:rsidRDefault="00865519">
      <w:pPr>
        <w:jc w:val="center"/>
      </w:pPr>
      <w:r>
        <w:t>Trine University</w:t>
      </w:r>
    </w:p>
    <w:p w14:paraId="336F9598" w14:textId="77777777" w:rsidR="00271A87" w:rsidRDefault="00000000">
      <w:r>
        <w:br w:type="page"/>
      </w:r>
    </w:p>
    <w:p w14:paraId="5ACAA61C" w14:textId="77777777" w:rsidR="00271A87" w:rsidRDefault="00000000">
      <w:pPr>
        <w:jc w:val="center"/>
      </w:pPr>
      <w:r>
        <w:rPr>
          <w:b/>
        </w:rPr>
        <w:lastRenderedPageBreak/>
        <w:t>Concept and Rationale</w:t>
      </w:r>
    </w:p>
    <w:p w14:paraId="2B535B5C" w14:textId="7FE1C719" w:rsidR="00271A87" w:rsidRDefault="00000000">
      <w:pPr>
        <w:ind w:firstLine="720"/>
      </w:pPr>
      <w:r>
        <w:t>Payment integrity is the set of prepayment and post payment activities used by health plans to identify inaccurate, unsupported, or inappropriate claims</w:t>
      </w:r>
      <w:r w:rsidR="003B704C">
        <w:t>.</w:t>
      </w:r>
      <w:r>
        <w:t xml:space="preserve"> CMS estimated $28.83 billion in Medicare fee-for-service improper payments in fiscal year 2025, a 6.55% rate (Centers for Medicare &amp; Medicaid Services [CMS], 2026). Traditional rules are auditable but brittle; they can miss unusual combinations of payment, procedure, provider behavior, and patient context. Conversely, AI can summarize evidence but should not independently initiate action. </w:t>
      </w:r>
      <w:r w:rsidR="003B704C">
        <w:t>Practical</w:t>
      </w:r>
      <w:r>
        <w:t xml:space="preserve"> architecture therefore separates numerical prioritization from </w:t>
      </w:r>
      <w:r w:rsidR="003B704C">
        <w:t>AI</w:t>
      </w:r>
      <w:r>
        <w:t xml:space="preserve"> assistance.</w:t>
      </w:r>
    </w:p>
    <w:p w14:paraId="37E4B46F" w14:textId="77777777" w:rsidR="00271A87" w:rsidRDefault="00000000">
      <w:pPr>
        <w:jc w:val="center"/>
      </w:pPr>
      <w:r>
        <w:rPr>
          <w:b/>
        </w:rPr>
        <w:t>ClaimSignal Proof of Concept</w:t>
      </w:r>
    </w:p>
    <w:p w14:paraId="5BEAE243" w14:textId="758A9501" w:rsidR="00271A87" w:rsidRDefault="00000000">
      <w:pPr>
        <w:ind w:firstLine="720"/>
      </w:pPr>
      <w:r>
        <w:t>ClaimSignal is a human-in-the-loop prototype for payment</w:t>
      </w:r>
      <w:r w:rsidR="003B704C">
        <w:t xml:space="preserve"> </w:t>
      </w:r>
      <w:r>
        <w:t xml:space="preserve">integrity triage. First, deterministic and statistical components create a review priority: provider billing-behavior segments support peer comparison; expected-payment modeling and residual/surge signals identify price deviation; and a cluster-stratified Isolation Forest identifies multivariate outliers. </w:t>
      </w:r>
      <w:r w:rsidR="003B704C">
        <w:t>They</w:t>
      </w:r>
      <w:r>
        <w:t xml:space="preserve"> are </w:t>
      </w:r>
      <w:r w:rsidR="003B704C">
        <w:t xml:space="preserve">then </w:t>
      </w:r>
      <w:r>
        <w:t>transparently fused into an Audit Priority Score and review tier. Claims with insufficient data are routed to a data-quality queue rather than scored.</w:t>
      </w:r>
    </w:p>
    <w:p w14:paraId="5CF6F94F" w14:textId="00854A5D" w:rsidR="00271A87" w:rsidRDefault="00000000">
      <w:pPr>
        <w:ind w:firstLine="720"/>
      </w:pPr>
      <w:r>
        <w:t xml:space="preserve">Second, a constrained LLM converts only the approved claim evidence packet into an analyst-facing memo. Its recommendation is determined by the upstream routing logic; schema validation, permitted evidence fields, and prohibited terms constrain the output. The LLM may recommend verification, but it cannot determine fraud, overpayment, denial, or action. </w:t>
      </w:r>
    </w:p>
    <w:p w14:paraId="09C724CB" w14:textId="77777777" w:rsidR="00271A87" w:rsidRDefault="00000000">
      <w:pPr>
        <w:jc w:val="center"/>
      </w:pPr>
      <w:r>
        <w:rPr>
          <w:b/>
        </w:rPr>
        <w:t>Trends, Opportunities, and Threats</w:t>
      </w:r>
    </w:p>
    <w:p w14:paraId="37DB3219" w14:textId="4C5DBA2B" w:rsidR="00271A87" w:rsidRDefault="00000000">
      <w:pPr>
        <w:ind w:firstLine="720"/>
      </w:pPr>
      <w:r>
        <w:t xml:space="preserve">With the advent of AI, fraud is becoming more sophisticated and harder to detect using traditional methods </w:t>
      </w:r>
      <w:r w:rsidR="00865519">
        <w:t>alone. They</w:t>
      </w:r>
      <w:r>
        <w:t xml:space="preserve"> can produce clinically plausible medical records that resemble the notes providers </w:t>
      </w:r>
      <w:r w:rsidR="00865519">
        <w:t>write</w:t>
      </w:r>
      <w:r>
        <w:t xml:space="preserve"> without requiring deep medical expertise creating synthetic credibility.</w:t>
      </w:r>
    </w:p>
    <w:p w14:paraId="6F1DC551" w14:textId="313D7062" w:rsidR="00271A87" w:rsidRDefault="00000000">
      <w:pPr>
        <w:ind w:firstLine="720"/>
      </w:pPr>
      <w:r>
        <w:lastRenderedPageBreak/>
        <w:t xml:space="preserve">Payment integrity is therefore shifting toward integrated, earlier intervention supported by rules, analytics, and reviewer workflows. Cotiviti describes using </w:t>
      </w:r>
      <w:r w:rsidR="00865519">
        <w:t>AI</w:t>
      </w:r>
      <w:r>
        <w:t xml:space="preserve"> alongside deterministic rules to identify patterns that evade claim-by-claim review, while its responsible-AI approach emphasizes accuracy, transparency, security, and accountability (Cotiviti, n.d.-a, n.d.-b). This creates an opportunity to reduce analyst search time. Rather than presenting a score alone, a governed system can provide payment deviation, peer context, multivariate risk, data-quality status, and a concise, evidence-grounded memo in a single review queue.</w:t>
      </w:r>
    </w:p>
    <w:p w14:paraId="6427A544" w14:textId="1D0D2596" w:rsidR="00271A87" w:rsidRDefault="00000000">
      <w:pPr>
        <w:ind w:firstLine="720"/>
      </w:pPr>
      <w:r>
        <w:t>The same capabilities also create material risks. A model trained on incomplete, drifting, or unrepresentative data can produce unreliable priorities. An unconstrained LLM may overstate evidence, invent policy support, or use accusatory language and make decisions difficult to audit.</w:t>
      </w:r>
    </w:p>
    <w:p w14:paraId="5FFC10D2" w14:textId="77777777" w:rsidR="00271A87" w:rsidRDefault="00000000">
      <w:pPr>
        <w:jc w:val="center"/>
      </w:pPr>
      <w:r>
        <w:rPr>
          <w:b/>
        </w:rPr>
        <w:t>Strategic Recommendation</w:t>
      </w:r>
    </w:p>
    <w:p w14:paraId="753524F5" w14:textId="13A011B5" w:rsidR="00271A87" w:rsidRDefault="00000000" w:rsidP="003B704C">
      <w:pPr>
        <w:ind w:firstLine="720"/>
      </w:pPr>
      <w:r>
        <w:t>M</w:t>
      </w:r>
      <w:r w:rsidR="00865519">
        <w:t>y</w:t>
      </w:r>
      <w:r>
        <w:t xml:space="preserve"> </w:t>
      </w:r>
      <w:r w:rsidR="00865519">
        <w:t>recommendation</w:t>
      </w:r>
      <w:r>
        <w:t xml:space="preserve"> for </w:t>
      </w:r>
      <w:r w:rsidR="003B704C" w:rsidRPr="003B704C">
        <w:t>Cotiviti</w:t>
      </w:r>
      <w:r w:rsidR="003B704C" w:rsidRPr="003B704C">
        <w:t xml:space="preserve"> </w:t>
      </w:r>
      <w:r>
        <w:t xml:space="preserve">would be rather than relying on one sophisticated algorithm to identify every type of fraud, the objective should be to identify the different ways fraud is generated and establish a system for each. A pre-payment behavioral scoring to evaluate diagnostic-code plausibility, geographic distribution, and provider history. Alongside, advanced tools </w:t>
      </w:r>
      <w:r w:rsidR="003B704C">
        <w:t>to</w:t>
      </w:r>
      <w:r>
        <w:t xml:space="preserve"> scan medical images for synthetic anomalies, while </w:t>
      </w:r>
      <w:r w:rsidR="003B704C">
        <w:t>NLP to</w:t>
      </w:r>
      <w:r>
        <w:t xml:space="preserve"> flag AI-generated text patterns in submitted radiology and clinical notes. This can be followed up with advanced models like Graph Neural Networks to map complex, multidimensional connections across patients, provider networks, and shell medical-supply companies.</w:t>
      </w:r>
      <w:r w:rsidR="003B704C">
        <w:t xml:space="preserve"> This ca</w:t>
      </w:r>
      <w:r>
        <w:t xml:space="preserve">n help uncover hidden cross-linked relationships by learning the underlying structures and patterns across claims, patients, providers, and organizations. As always, these systems should operate alongside validated deterministic rules, explainable statistical signals, guardrails, and human agents who make the final decision. </w:t>
      </w:r>
      <w:r>
        <w:br w:type="page"/>
      </w:r>
    </w:p>
    <w:p w14:paraId="12D7B6E7" w14:textId="77777777" w:rsidR="00271A87" w:rsidRDefault="00000000">
      <w:pPr>
        <w:jc w:val="center"/>
      </w:pPr>
      <w:r>
        <w:rPr>
          <w:b/>
        </w:rPr>
        <w:lastRenderedPageBreak/>
        <w:t>References</w:t>
      </w:r>
    </w:p>
    <w:p w14:paraId="4BF82BD1" w14:textId="77777777" w:rsidR="00985D79" w:rsidRDefault="00985D79" w:rsidP="00865519">
      <w:pPr>
        <w:ind w:left="720" w:hanging="720"/>
      </w:pPr>
      <w:r w:rsidRPr="00985D79">
        <w:t xml:space="preserve">Arnold, B., &amp; </w:t>
      </w:r>
      <w:proofErr w:type="spellStart"/>
      <w:r w:rsidRPr="00985D79">
        <w:t>Periyanan</w:t>
      </w:r>
      <w:proofErr w:type="spellEnd"/>
      <w:r w:rsidRPr="00985D79">
        <w:t>, A. (2024, July 19). Artificial intelligence in payment integrity. Payment Integrity Insights, Episode 5. Cotiviti, Inc. https://podcasts.apple.com/us/podcast/payment-integrity-insights/id1702182312</w:t>
      </w:r>
      <w:r w:rsidRPr="00985D79">
        <w:t xml:space="preserve"> </w:t>
      </w:r>
    </w:p>
    <w:p w14:paraId="4F347610" w14:textId="591D1695" w:rsidR="00865519" w:rsidRDefault="00865519" w:rsidP="00865519">
      <w:pPr>
        <w:ind w:left="720" w:hanging="720"/>
      </w:pPr>
      <w:r>
        <w:t>Centers for Medicare &amp; Medicaid Services. (2026, January 15). Fiscal year 2025 improper payments fact sheet. https://www.cms.gov/newsroom/fact-sheets/fiscal-year-2025-improper-payments-fact-sheet</w:t>
      </w:r>
    </w:p>
    <w:p w14:paraId="298633C3" w14:textId="77777777" w:rsidR="00865519" w:rsidRDefault="00865519" w:rsidP="00865519">
      <w:pPr>
        <w:ind w:left="720" w:hanging="720"/>
      </w:pPr>
      <w:r>
        <w:t>Centers for Medicare &amp; Medicaid Services. (2026). Medicare claims synthetic public use files (</w:t>
      </w:r>
      <w:proofErr w:type="spellStart"/>
      <w:r>
        <w:t>SynPUFs</w:t>
      </w:r>
      <w:proofErr w:type="spellEnd"/>
      <w:r>
        <w:t>). https://www.cms.gov/data-research/statistics-trends-and-reports/medicare-claims-synthetic-public-use-files</w:t>
      </w:r>
    </w:p>
    <w:p w14:paraId="71742D26" w14:textId="77777777" w:rsidR="00865519" w:rsidRDefault="00865519" w:rsidP="00865519">
      <w:pPr>
        <w:ind w:left="720" w:hanging="720"/>
      </w:pPr>
      <w:r>
        <w:t>Cotiviti. (n.d.-a). AI that drives value responsibly. https://www.cotiviti.com/about/responsible-ai-use</w:t>
      </w:r>
    </w:p>
    <w:p w14:paraId="23AB7DCA" w14:textId="77777777" w:rsidR="00865519" w:rsidRDefault="00865519" w:rsidP="00865519">
      <w:pPr>
        <w:ind w:left="720" w:hanging="720"/>
      </w:pPr>
      <w:r>
        <w:t>Cotiviti. (n.d.-b). Healthcare claim payment accuracy solutions. https://www.cotiviti.com/solutions/payment-accuracy</w:t>
      </w:r>
    </w:p>
    <w:p w14:paraId="2875D523" w14:textId="51427C3F" w:rsidR="00865519" w:rsidRDefault="00865519" w:rsidP="00865519">
      <w:pPr>
        <w:ind w:left="720" w:hanging="720"/>
      </w:pPr>
      <w:r>
        <w:t xml:space="preserve">National Institute of Standards and Technology. (2024). Artificial intelligence risk management framework: Generative artificial intelligence profile (NIST AI 600-1). </w:t>
      </w:r>
      <w:hyperlink r:id="rId8" w:history="1">
        <w:r w:rsidRPr="006A1338">
          <w:rPr>
            <w:rStyle w:val="Hyperlink"/>
          </w:rPr>
          <w:t>https://doi.org/10.6028/NIST.AI.600-1</w:t>
        </w:r>
      </w:hyperlink>
    </w:p>
    <w:sectPr w:rsidR="00865519"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EBEE5" w14:textId="77777777" w:rsidR="00716889" w:rsidRDefault="00716889">
      <w:pPr>
        <w:spacing w:line="240" w:lineRule="auto"/>
      </w:pPr>
      <w:r>
        <w:separator/>
      </w:r>
    </w:p>
  </w:endnote>
  <w:endnote w:type="continuationSeparator" w:id="0">
    <w:p w14:paraId="163F1906" w14:textId="77777777" w:rsidR="00716889" w:rsidRDefault="007168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8848B" w14:textId="77777777" w:rsidR="00716889" w:rsidRDefault="00716889">
      <w:pPr>
        <w:spacing w:line="240" w:lineRule="auto"/>
      </w:pPr>
      <w:r>
        <w:separator/>
      </w:r>
    </w:p>
  </w:footnote>
  <w:footnote w:type="continuationSeparator" w:id="0">
    <w:p w14:paraId="230B5D16" w14:textId="77777777" w:rsidR="00716889" w:rsidRDefault="007168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483B7" w14:textId="77777777" w:rsidR="00271A87" w:rsidRDefault="00000000">
    <w:pPr>
      <w:pStyle w:val="Header"/>
      <w:jc w:val="right"/>
    </w:pPr>
    <w:r>
      <w:fldChar w:fldCharType="begin"/>
    </w:r>
    <w:r>
      <w:instrText>PAGE</w:instrText>
    </w:r>
    <w:r>
      <w:fldChar w:fldCharType="separate"/>
    </w:r>
    <w:r w:rsidR="0086551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8861318">
    <w:abstractNumId w:val="8"/>
  </w:num>
  <w:num w:numId="2" w16cid:durableId="1678073981">
    <w:abstractNumId w:val="6"/>
  </w:num>
  <w:num w:numId="3" w16cid:durableId="1661038555">
    <w:abstractNumId w:val="5"/>
  </w:num>
  <w:num w:numId="4" w16cid:durableId="76481751">
    <w:abstractNumId w:val="4"/>
  </w:num>
  <w:num w:numId="5" w16cid:durableId="1651860114">
    <w:abstractNumId w:val="7"/>
  </w:num>
  <w:num w:numId="6" w16cid:durableId="1066759233">
    <w:abstractNumId w:val="3"/>
  </w:num>
  <w:num w:numId="7" w16cid:durableId="291250058">
    <w:abstractNumId w:val="2"/>
  </w:num>
  <w:num w:numId="8" w16cid:durableId="498082155">
    <w:abstractNumId w:val="1"/>
  </w:num>
  <w:num w:numId="9" w16cid:durableId="823157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A87"/>
    <w:rsid w:val="0029639D"/>
    <w:rsid w:val="00326F90"/>
    <w:rsid w:val="003B704C"/>
    <w:rsid w:val="00716889"/>
    <w:rsid w:val="00733695"/>
    <w:rsid w:val="00865519"/>
    <w:rsid w:val="00985D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D4427"/>
  <w14:defaultImageDpi w14:val="300"/>
  <w15:docId w15:val="{FAB56A0B-C8E3-4E01-84B5-B98A1A82F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65519"/>
    <w:rPr>
      <w:color w:val="0000FF" w:themeColor="hyperlink"/>
      <w:u w:val="single"/>
    </w:rPr>
  </w:style>
  <w:style w:type="character" w:styleId="UnresolvedMention">
    <w:name w:val="Unresolved Mention"/>
    <w:basedOn w:val="DefaultParagraphFont"/>
    <w:uiPriority w:val="99"/>
    <w:semiHidden/>
    <w:unhideWhenUsed/>
    <w:rsid w:val="008655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028/NIST.AI.600-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772</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Pawar, Aishwarya Ramchandra</cp:lastModifiedBy>
  <cp:revision>3</cp:revision>
  <dcterms:created xsi:type="dcterms:W3CDTF">2013-12-23T23:15:00Z</dcterms:created>
  <dcterms:modified xsi:type="dcterms:W3CDTF">2026-08-15T17:41:00Z</dcterms:modified>
  <cp:category/>
</cp:coreProperties>
</file>