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PARAMETERS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["Dem_gender"])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 ["Dem_employment"])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["Dem_Expat"])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 ["Dem_maritalstatus"])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["Dem_riskgroup"])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 ["Country"])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Dem_age',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 'Dem_dependents',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'openness',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'conscientiousness',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'extroversion',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'agreeableness',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sz w:val="24"/>
          <w:szCs w:val="24"/>
          <w:shd w:fill="ffe599" w:val="clear"/>
        </w:rPr>
      </w:pP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 'neuroticism',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sz w:val="24"/>
          <w:szCs w:val="24"/>
          <w:shd w:fill="b6d7a8" w:val="clear"/>
        </w:rPr>
      </w:pP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 'isolated_count',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 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Male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Female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Employment Status 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 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Retired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you living abroad away from your home country?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Yes 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Marital status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Married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would rather not say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you or any of your close relations( family/close friends) in a high-risk group for coronavirus? (e.g elderly, pregnant or pre-existing medical conditions) 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yes 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sure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of residence: //Drop down list of countries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 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18-110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 of dependants/family members dependent on you for support :  // Drop down List of numbers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Below you see a number of statements, each of which starts with "I see myself as someone who".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each statement, indicate how much you agree with this.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see myself as someone who …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275"/>
        <w:gridCol w:w="1275"/>
        <w:gridCol w:w="1275"/>
        <w:gridCol w:w="1275"/>
        <w:gridCol w:w="1275"/>
        <w:gridCol w:w="1275"/>
        <w:gridCol w:w="1275"/>
        <w:tblGridChange w:id="0">
          <w:tblGrid>
            <w:gridCol w:w="1800"/>
            <w:gridCol w:w="1275"/>
            <w:gridCol w:w="1275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5555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5555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strongly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5555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5555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somewhat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5555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neither agree nor disagree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5555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somewhat 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5555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55555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strongly agree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worries a 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gets nervous easily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remains calm in tense situations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talkative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outgoing, sociable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reserved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original, comes up with new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values artistic, aesthetic experiences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has an active imagination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sometimes rude to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has a forgiving 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is considerate and kind to almost 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2f2f2" w:val="clear"/>
                <w:rtl w:val="0"/>
              </w:rPr>
              <w:t xml:space="preserve">does a thorough 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2f2f2" w:val="clear"/>
                <w:rtl w:val="0"/>
              </w:rPr>
              <w:t xml:space="preserve">tends to be lazy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does things efficiently</w:t>
              <w:tab/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members in your family have tested positive for coronavirus and been isolated?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//drop down list of numbers</w:t>
      </w:r>
    </w:p>
    <w:sectPr>
      <w:pgSz w:h="15840" w:w="12240" w:orient="portrait"/>
      <w:pgMar w:bottom="1440" w:top="1440" w:left="45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