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Arial" w:cs="Arial" w:eastAsia="Arial" w:hAnsi="Arial"/>
          <w:b/>
          <w:bCs/>
          <w:color w:val="0D2137"/>
          <w:sz w:val="72"/>
          <w:szCs w:val="72"/>
        </w:rPr>
        <w:t xml:space="preserve">RIDESMART</w:t>
      </w:r>
    </w:p>
    <w:p>
      <w:pPr>
        <w:spacing w:after="60" w:before="0"/>
        <w:jc w:val="center"/>
      </w:pPr>
      <w:r>
        <w:rPr>
          <w:rFonts w:ascii="Arial" w:cs="Arial" w:eastAsia="Arial" w:hAnsi="Arial"/>
          <w:color w:val="1A4F7A"/>
          <w:sz w:val="40"/>
          <w:szCs w:val="40"/>
        </w:rPr>
        <w:t xml:space="preserve">Smart Profit Decision Engine</w:t>
      </w:r>
    </w:p>
    <w:p>
      <w:pPr>
        <w:spacing w:after="20" w:before="0"/>
        <w:jc w:val="center"/>
      </w:pPr>
      <w:r>
        <w:rPr>
          <w:rFonts w:ascii="Arial" w:cs="Arial" w:eastAsia="Arial" w:hAnsi="Arial"/>
          <w:color w:val="0E7490"/>
          <w:sz w:val="28"/>
          <w:szCs w:val="28"/>
        </w:rPr>
        <w:t xml:space="preserve">&amp; Ride Comparison AI System</w:t>
      </w:r>
    </w:p>
    <w:p>
      <w:pPr>
        <w:spacing w:after="0" w:before="20"/>
      </w:pPr>
      <w:r>
        <w:rPr>
          <w:rFonts w:ascii="Arial" w:cs="Arial" w:eastAsia="Arial" w:hAnsi="Arial"/>
          <w:sz w:val="20"/>
          <w:szCs w:val="20"/>
        </w:rPr>
        <w:t xml:space="preserve"/>
      </w:r>
    </w:p>
    <w:p>
      <w:pPr>
        <w:pBdr>
          <w:top w:val="none" w:color="FFFFFF" w:sz="0"/>
          <w:bottom w:val="single" w:color="1A4F7A" w:sz="6" w:space="1"/>
          <w:left w:val="none" w:color="FFFFFF" w:sz="0"/>
          <w:right w:val="none" w:color="FFFFFF" w:sz="0"/>
        </w:pBdr>
        <w:spacing w:after="0" w:before="0"/>
        <w:jc w:val="center"/>
      </w:pPr>
      <w:r>
        <w:rPr>
          <w:rFonts w:ascii="Arial" w:cs="Arial" w:eastAsia="Arial" w:hAnsi="Arial"/>
          <w:i/>
          <w:iCs/>
          <w:color w:val="6B7280"/>
          <w:sz w:val="22"/>
          <w:szCs w:val="22"/>
        </w:rPr>
        <w:t xml:space="preserve">Complete Technical Architecture · Economics · Design Specification</w:t>
      </w:r>
    </w:p>
    <w:p>
      <w:pPr>
        <w:spacing w:after="0" w:before="40"/>
      </w:pPr>
      <w:r>
        <w:rPr>
          <w:rFonts w:ascii="Arial" w:cs="Arial" w:eastAsia="Arial" w:hAnsi="Arial"/>
          <w:sz w:val="20"/>
          <w:szCs w:val="20"/>
        </w:rPr>
        <w:t xml:space="preserve"/>
      </w:r>
    </w:p>
    <w:p>
      <w:pPr>
        <w:spacing w:after="20" w:before="0"/>
        <w:jc w:val="center"/>
      </w:pPr>
      <w:r>
        <w:rPr>
          <w:rFonts w:ascii="Arial" w:cs="Arial" w:eastAsia="Arial" w:hAnsi="Arial"/>
          <w:color w:val="6B7280"/>
          <w:sz w:val="20"/>
          <w:szCs w:val="20"/>
        </w:rPr>
        <w:t xml:space="preserve">Version 2.0 (Production Release) · March 2026</w:t>
      </w:r>
    </w:p>
    <w:p>
      <w:pPr>
        <w:spacing w:after="40" w:before="0"/>
        <w:jc w:val="center"/>
      </w:pPr>
      <w:r>
        <w:rPr>
          <w:rFonts w:ascii="Arial" w:cs="Arial" w:eastAsia="Arial" w:hAnsi="Arial"/>
          <w:b/>
          <w:bCs/>
          <w:color w:val="374151"/>
          <w:sz w:val="20"/>
          <w:szCs w:val="20"/>
        </w:rPr>
        <w:t xml:space="preserve">Platforms: Uber Driver · Ola Driver · Rapido Captain · Shadowfax · Namma Yatri (Planned)</w:t>
      </w:r>
    </w:p>
    <w:p>
      <w:pPr>
        <w:spacing w:after="0" w:before="2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0D6EFD" w:sz="1"/>
              <w:left w:val="single" w:color="0D6EFD" w:sz="1"/>
              <w:bottom w:val="single" w:color="0D6EFD" w:sz="1"/>
              <w:right w:val="single" w:color="0D6EFD" w:sz="1"/>
            </w:tcBorders>
            <w:shd w:fill="0D6EFD" w:val="clear"/>
            <w:tcMar>
              <w:top w:type="dxa" w:w="80"/>
              <w:left w:type="dxa" w:w="60"/>
              <w:bottom w:type="dxa" w:w="80"/>
              <w:right w:type="dxa" w:w="60"/>
            </w:tcMar>
            <w:vAlign w:val="center"/>
          </w:tcPr>
          <w:p>
            <w:pPr>
              <w:spacing w:after="10" w:before="20"/>
              <w:jc w:val="center"/>
            </w:pPr>
            <w:r>
              <w:rPr>
                <w:rFonts w:ascii="Arial" w:cs="Arial" w:eastAsia="Arial" w:hAnsi="Arial"/>
                <w:b/>
                <w:bCs/>
                <w:color w:val="FFFFFF"/>
                <w:sz w:val="22"/>
                <w:szCs w:val="22"/>
              </w:rPr>
              <w:t xml:space="preserve">Uber</w:t>
            </w:r>
          </w:p>
          <w:p>
            <w:pPr>
              <w:spacing w:after="20" w:before="0"/>
              <w:jc w:val="center"/>
            </w:pPr>
            <w:r>
              <w:rPr>
                <w:rFonts w:ascii="Arial" w:cs="Arial" w:eastAsia="Arial" w:hAnsi="Arial"/>
                <w:color w:val="FFFFFF"/>
                <w:sz w:val="16"/>
                <w:szCs w:val="16"/>
              </w:rPr>
              <w:t xml:space="preserve">Driver</w:t>
            </w:r>
          </w:p>
        </w:tc>
        <w:tc>
          <w:tcPr>
            <w:tcW w:type="dxa" w:w="1872"/>
            <w:tcBorders>
              <w:top w:val="single" w:color="FF5800" w:sz="1"/>
              <w:left w:val="single" w:color="FF5800" w:sz="1"/>
              <w:bottom w:val="single" w:color="FF5800" w:sz="1"/>
              <w:right w:val="single" w:color="FF5800" w:sz="1"/>
            </w:tcBorders>
            <w:shd w:fill="FF5800" w:val="clear"/>
            <w:tcMar>
              <w:top w:type="dxa" w:w="80"/>
              <w:left w:type="dxa" w:w="60"/>
              <w:bottom w:type="dxa" w:w="80"/>
              <w:right w:type="dxa" w:w="60"/>
            </w:tcMar>
            <w:vAlign w:val="center"/>
          </w:tcPr>
          <w:p>
            <w:pPr>
              <w:spacing w:after="10" w:before="20"/>
              <w:jc w:val="center"/>
            </w:pPr>
            <w:r>
              <w:rPr>
                <w:rFonts w:ascii="Arial" w:cs="Arial" w:eastAsia="Arial" w:hAnsi="Arial"/>
                <w:b/>
                <w:bCs/>
                <w:color w:val="FFFFFF"/>
                <w:sz w:val="22"/>
                <w:szCs w:val="22"/>
              </w:rPr>
              <w:t xml:space="preserve">Ola</w:t>
            </w:r>
          </w:p>
          <w:p>
            <w:pPr>
              <w:spacing w:after="20" w:before="0"/>
              <w:jc w:val="center"/>
            </w:pPr>
            <w:r>
              <w:rPr>
                <w:rFonts w:ascii="Arial" w:cs="Arial" w:eastAsia="Arial" w:hAnsi="Arial"/>
                <w:color w:val="FFFFFF"/>
                <w:sz w:val="16"/>
                <w:szCs w:val="16"/>
              </w:rPr>
              <w:t xml:space="preserve">Driver</w:t>
            </w:r>
          </w:p>
        </w:tc>
        <w:tc>
          <w:tcPr>
            <w:tcW w:type="dxa" w:w="1872"/>
            <w:tcBorders>
              <w:top w:val="single" w:color="FFD700" w:sz="1"/>
              <w:left w:val="single" w:color="FFD700" w:sz="1"/>
              <w:bottom w:val="single" w:color="FFD700" w:sz="1"/>
              <w:right w:val="single" w:color="FFD700" w:sz="1"/>
            </w:tcBorders>
            <w:shd w:fill="FFD700" w:val="clear"/>
            <w:tcMar>
              <w:top w:type="dxa" w:w="80"/>
              <w:left w:type="dxa" w:w="60"/>
              <w:bottom w:type="dxa" w:w="80"/>
              <w:right w:type="dxa" w:w="60"/>
            </w:tcMar>
            <w:vAlign w:val="center"/>
          </w:tcPr>
          <w:p>
            <w:pPr>
              <w:spacing w:after="10" w:before="20"/>
              <w:jc w:val="center"/>
            </w:pPr>
            <w:r>
              <w:rPr>
                <w:rFonts w:ascii="Arial" w:cs="Arial" w:eastAsia="Arial" w:hAnsi="Arial"/>
                <w:b/>
                <w:bCs/>
                <w:color w:val="FFFFFF"/>
                <w:sz w:val="22"/>
                <w:szCs w:val="22"/>
              </w:rPr>
              <w:t xml:space="preserve">Rapido</w:t>
            </w:r>
          </w:p>
          <w:p>
            <w:pPr>
              <w:spacing w:after="20" w:before="0"/>
              <w:jc w:val="center"/>
            </w:pPr>
            <w:r>
              <w:rPr>
                <w:rFonts w:ascii="Arial" w:cs="Arial" w:eastAsia="Arial" w:hAnsi="Arial"/>
                <w:color w:val="FFFFFF"/>
                <w:sz w:val="16"/>
                <w:szCs w:val="16"/>
              </w:rPr>
              <w:t xml:space="preserve">Captain</w:t>
            </w:r>
          </w:p>
        </w:tc>
        <w:tc>
          <w:tcPr>
            <w:tcW w:type="dxa" w:w="1872"/>
            <w:tcBorders>
              <w:top w:val="single" w:color="6B21A8" w:sz="1"/>
              <w:left w:val="single" w:color="6B21A8" w:sz="1"/>
              <w:bottom w:val="single" w:color="6B21A8" w:sz="1"/>
              <w:right w:val="single" w:color="6B21A8" w:sz="1"/>
            </w:tcBorders>
            <w:shd w:fill="6B21A8" w:val="clear"/>
            <w:tcMar>
              <w:top w:type="dxa" w:w="80"/>
              <w:left w:type="dxa" w:w="60"/>
              <w:bottom w:type="dxa" w:w="80"/>
              <w:right w:type="dxa" w:w="60"/>
            </w:tcMar>
            <w:vAlign w:val="center"/>
          </w:tcPr>
          <w:p>
            <w:pPr>
              <w:spacing w:after="10" w:before="20"/>
              <w:jc w:val="center"/>
            </w:pPr>
            <w:r>
              <w:rPr>
                <w:rFonts w:ascii="Arial" w:cs="Arial" w:eastAsia="Arial" w:hAnsi="Arial"/>
                <w:b/>
                <w:bCs/>
                <w:color w:val="FFFFFF"/>
                <w:sz w:val="22"/>
                <w:szCs w:val="22"/>
              </w:rPr>
              <w:t xml:space="preserve">Shadowfax</w:t>
            </w:r>
          </w:p>
          <w:p>
            <w:pPr>
              <w:spacing w:after="20" w:before="0"/>
              <w:jc w:val="center"/>
            </w:pPr>
            <w:r>
              <w:rPr>
                <w:rFonts w:ascii="Arial" w:cs="Arial" w:eastAsia="Arial" w:hAnsi="Arial"/>
                <w:color w:val="FFFFFF"/>
                <w:sz w:val="16"/>
                <w:szCs w:val="16"/>
              </w:rPr>
              <w:t xml:space="preserve">Delivery</w:t>
            </w:r>
          </w:p>
        </w:tc>
        <w:tc>
          <w:tcPr>
            <w:tcW w:type="dxa" w:w="1872"/>
            <w:tcBorders>
              <w:top w:val="single" w:color="059669" w:sz="1"/>
              <w:left w:val="single" w:color="059669" w:sz="1"/>
              <w:bottom w:val="single" w:color="059669" w:sz="1"/>
              <w:right w:val="single" w:color="059669" w:sz="1"/>
            </w:tcBorders>
            <w:shd w:fill="059669" w:val="clear"/>
            <w:tcMar>
              <w:top w:type="dxa" w:w="80"/>
              <w:left w:type="dxa" w:w="60"/>
              <w:bottom w:type="dxa" w:w="80"/>
              <w:right w:type="dxa" w:w="60"/>
            </w:tcMar>
            <w:vAlign w:val="center"/>
          </w:tcPr>
          <w:p>
            <w:pPr>
              <w:spacing w:after="10" w:before="20"/>
              <w:jc w:val="center"/>
            </w:pPr>
            <w:r>
              <w:rPr>
                <w:rFonts w:ascii="Arial" w:cs="Arial" w:eastAsia="Arial" w:hAnsi="Arial"/>
                <w:b/>
                <w:bCs/>
                <w:color w:val="FFFFFF"/>
                <w:sz w:val="22"/>
                <w:szCs w:val="22"/>
              </w:rPr>
              <w:t xml:space="preserve">Namma Yatri</w:t>
            </w:r>
          </w:p>
          <w:p>
            <w:pPr>
              <w:spacing w:after="20" w:before="0"/>
              <w:jc w:val="center"/>
            </w:pPr>
            <w:r>
              <w:rPr>
                <w:rFonts w:ascii="Arial" w:cs="Arial" w:eastAsia="Arial" w:hAnsi="Arial"/>
                <w:color w:val="FFFFFF"/>
                <w:sz w:val="16"/>
                <w:szCs w:val="16"/>
              </w:rPr>
              <w:t xml:space="preserve">Planned</w:t>
            </w:r>
          </w:p>
        </w:tc>
      </w:tr>
    </w:tbl>
    <w:p>
      <w:pPr>
        <w:spacing w:after="0" w:before="60"/>
      </w:pPr>
      <w:r>
        <w:rPr>
          <w:rFonts w:ascii="Arial" w:cs="Arial" w:eastAsia="Arial" w:hAnsi="Arial"/>
          <w:sz w:val="20"/>
          <w:szCs w:val="20"/>
        </w:rPr>
        <w:t xml:space="preserve"/>
      </w:r>
    </w:p>
    <w:p>
      <w:r>
        <w:br w:type="page"/>
      </w:r>
    </w:p>
    <w:p>
      <w:pPr>
        <w:pBdr>
          <w:top w:val="none" w:color="FFFFFF" w:sz="0"/>
          <w:bottom w:val="single" w:color="1A4F7A" w:sz="8" w:space="1"/>
          <w:left w:val="none" w:color="FFFFFF" w:sz="0"/>
          <w:right w:val="none" w:color="FFFFFF" w:sz="0"/>
        </w:pBdr>
        <w:spacing w:after="120" w:before="400"/>
      </w:pPr>
      <w:r>
        <w:rPr>
          <w:rFonts w:ascii="Arial" w:cs="Arial" w:eastAsia="Arial" w:hAnsi="Arial"/>
          <w:b/>
          <w:bCs/>
          <w:color w:val="0D2137"/>
          <w:sz w:val="36"/>
          <w:szCs w:val="36"/>
        </w:rPr>
        <w:t xml:space="preserve">1. System Overview &amp; Strategic Purpose</w:t>
      </w:r>
    </w:p>
    <w:p>
      <w:pPr>
        <w:spacing w:after="60" w:before="60"/>
      </w:pPr>
      <w:r>
        <w:rPr>
          <w:rFonts w:ascii="Arial" w:cs="Arial" w:eastAsia="Arial" w:hAnsi="Arial"/>
          <w:sz w:val="20"/>
          <w:szCs w:val="20"/>
        </w:rPr>
        <w:t xml:space="preserve">RideSmart is a real-time, on-device Profit Decision Engine embedded within an Android Accessibility Service. The moment a ride offer popup appears from Uber, Ola, Rapido, Shadowfax, or Namma Yatri (planned), RideSmart automatically extracts offer parameters via OCR or Accessibility APIs, runs a comprehensive multi-variable economic analysis, and returns a colour-coded, actionable decision in under 300 milliseconds — well within the 5–15 second driver response window.</w:t>
      </w:r>
    </w:p>
    <w:p>
      <w:pPr>
        <w:spacing w:after="0" w:before="20"/>
      </w:pPr>
      <w:r>
        <w:rPr>
          <w:rFonts w:ascii="Arial" w:cs="Arial" w:eastAsia="Arial" w:hAnsi="Arial"/>
          <w:sz w:val="20"/>
          <w:szCs w:val="20"/>
        </w:rPr>
        <w:t xml:space="preserve"/>
      </w:r>
    </w:p>
    <w:p>
      <w:pPr>
        <w:spacing w:after="60" w:before="60"/>
      </w:pPr>
      <w:r>
        <w:rPr>
          <w:rFonts w:ascii="Arial" w:cs="Arial" w:eastAsia="Arial" w:hAnsi="Arial"/>
          <w:sz w:val="20"/>
          <w:szCs w:val="20"/>
        </w:rPr>
        <w:t xml:space="preserve">The Indian gig economy presents a structural information asymmetry: platforms deploy sophisticated revenue-optimisation algorithms while drivers rely on split-second intuition. The Economic Survey 2025–26 revealed approximately 40% of gig workers earn below ₹15,000/month. RideSmart levels the playing field by giving every driver access to the same algorithmic rigour the platforms use against them.</w:t>
      </w:r>
    </w:p>
    <w:p>
      <w:pPr>
        <w:spacing w:after="100" w:before="280"/>
      </w:pPr>
      <w:r>
        <w:rPr>
          <w:rFonts w:ascii="Arial" w:cs="Arial" w:eastAsia="Arial" w:hAnsi="Arial"/>
          <w:b/>
          <w:bCs/>
          <w:color w:val="1A4F7A"/>
          <w:sz w:val="28"/>
          <w:szCs w:val="28"/>
        </w:rPr>
        <w:t xml:space="preserve">1.1 Decision Output — The Three-Signal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3960"/>
        <w:gridCol w:w="2520"/>
      </w:tblGrid>
      <w:tr>
        <w:tc>
          <w:tcPr>
            <w:tcW w:type="dxa" w:w="1440"/>
            <w:tcBorders>
              <w:top w:val="single" w:color="D1D5DB" w:sz="1"/>
              <w:left w:val="single" w:color="D1D5DB" w:sz="1"/>
              <w:bottom w:val="single" w:color="D1D5DB" w:sz="1"/>
              <w:right w:val="single" w:color="D1D5DB" w:sz="1"/>
            </w:tcBorders>
            <w:shd w:fill="0D2137"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Signal</w:t>
            </w:r>
          </w:p>
        </w:tc>
        <w:tc>
          <w:tcPr>
            <w:tcW w:type="dxa" w:w="1440"/>
            <w:tcBorders>
              <w:top w:val="single" w:color="D1D5DB" w:sz="1"/>
              <w:left w:val="single" w:color="D1D5DB" w:sz="1"/>
              <w:bottom w:val="single" w:color="D1D5DB" w:sz="1"/>
              <w:right w:val="single" w:color="D1D5DB" w:sz="1"/>
            </w:tcBorders>
            <w:shd w:fill="0D2137"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RideScore</w:t>
            </w:r>
          </w:p>
        </w:tc>
        <w:tc>
          <w:tcPr>
            <w:tcW w:type="dxa" w:w="3960"/>
            <w:tcBorders>
              <w:top w:val="single" w:color="D1D5DB" w:sz="1"/>
              <w:left w:val="single" w:color="D1D5DB" w:sz="1"/>
              <w:bottom w:val="single" w:color="D1D5DB" w:sz="1"/>
              <w:right w:val="single" w:color="D1D5DB" w:sz="1"/>
            </w:tcBorders>
            <w:shd w:fill="0D2137"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Economic Reality</w:t>
            </w:r>
          </w:p>
        </w:tc>
        <w:tc>
          <w:tcPr>
            <w:tcW w:type="dxa" w:w="2520"/>
            <w:tcBorders>
              <w:top w:val="single" w:color="D1D5DB" w:sz="1"/>
              <w:left w:val="single" w:color="D1D5DB" w:sz="1"/>
              <w:bottom w:val="single" w:color="D1D5DB" w:sz="1"/>
              <w:right w:val="single" w:color="D1D5DB" w:sz="1"/>
            </w:tcBorders>
            <w:shd w:fill="0D2137"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Driver Action</w:t>
            </w:r>
          </w:p>
        </w:tc>
      </w:tr>
      <w:tr>
        <w:tc>
          <w:tcPr>
            <w:tcW w:type="dxa" w:w="1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bCs/>
                <w:color w:val="166534"/>
                <w:sz w:val="18"/>
                <w:szCs w:val="18"/>
              </w:rPr>
              <w:t xml:space="preserve">🟢 GREEN</w:t>
            </w:r>
          </w:p>
        </w:tc>
        <w:tc>
          <w:tcPr>
            <w:tcW w:type="dxa" w:w="1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sz w:val="18"/>
                <w:szCs w:val="18"/>
              </w:rPr>
              <w:t xml:space="preserve">75 – 100</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sz w:val="18"/>
                <w:szCs w:val="18"/>
              </w:rPr>
              <w:t xml:space="preserve">Exceeds cost baseline. Strong EPK &amp; TES. Minimal deadhead.</w:t>
            </w:r>
          </w:p>
        </w:tc>
        <w:tc>
          <w:tcPr>
            <w:tcW w:type="dxa" w:w="2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bCs/>
                <w:color w:val="166534"/>
                <w:sz w:val="18"/>
                <w:szCs w:val="18"/>
              </w:rPr>
              <w:t xml:space="preserve">ACCEPT IMMEDIATELY</w:t>
            </w:r>
          </w:p>
        </w:tc>
      </w:tr>
      <w:tr>
        <w:tc>
          <w:tcPr>
            <w:tcW w:type="dxa" w:w="14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bCs/>
                <w:color w:val="92400E"/>
                <w:sz w:val="18"/>
                <w:szCs w:val="18"/>
              </w:rPr>
              <w:t xml:space="preserve">🟡 YELLOW</w:t>
            </w:r>
          </w:p>
        </w:tc>
        <w:tc>
          <w:tcPr>
            <w:tcW w:type="dxa" w:w="14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sz w:val="18"/>
                <w:szCs w:val="18"/>
              </w:rPr>
              <w:t xml:space="preserve">45 – 74</w:t>
            </w:r>
          </w:p>
        </w:tc>
        <w:tc>
          <w:tcPr>
            <w:tcW w:type="dxa" w:w="3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sz w:val="18"/>
                <w:szCs w:val="18"/>
              </w:rPr>
              <w:t xml:space="preserve">Covers CPK/CPH but average surplus. Accept if idle &gt; 5 min.</w:t>
            </w:r>
          </w:p>
        </w:tc>
        <w:tc>
          <w:tcPr>
            <w:tcW w:type="dxa" w:w="25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bCs/>
                <w:color w:val="92400E"/>
                <w:sz w:val="18"/>
                <w:szCs w:val="18"/>
              </w:rPr>
              <w:t xml:space="preserve">EVALUATE CONTEXT</w:t>
            </w:r>
          </w:p>
        </w:tc>
      </w:tr>
      <w:tr>
        <w:tc>
          <w:tcPr>
            <w:tcW w:type="dxa" w:w="1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bCs/>
                <w:color w:val="991B1B"/>
                <w:sz w:val="18"/>
                <w:szCs w:val="18"/>
              </w:rPr>
              <w:t xml:space="preserve">🔴 RED</w:t>
            </w:r>
          </w:p>
        </w:tc>
        <w:tc>
          <w:tcPr>
            <w:tcW w:type="dxa" w:w="1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sz w:val="18"/>
                <w:szCs w:val="18"/>
              </w:rPr>
              <w:t xml:space="preserve">0 – 44</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sz w:val="18"/>
                <w:szCs w:val="18"/>
              </w:rPr>
              <w:t xml:space="preserve">Fails CPK/CPH. Capital erosion. Severe pickup penalty.</w:t>
            </w:r>
          </w:p>
        </w:tc>
        <w:tc>
          <w:tcPr>
            <w:tcW w:type="dxa" w:w="2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bCs/>
                <w:color w:val="991B1B"/>
                <w:sz w:val="18"/>
                <w:szCs w:val="18"/>
              </w:rPr>
              <w:t xml:space="preserve">REJECT</w:t>
            </w:r>
          </w:p>
        </w:tc>
      </w:tr>
    </w:tbl>
    <w:p>
      <w:pPr>
        <w:spacing w:after="100" w:before="280"/>
      </w:pPr>
      <w:r>
        <w:rPr>
          <w:rFonts w:ascii="Arial" w:cs="Arial" w:eastAsia="Arial" w:hAnsi="Arial"/>
          <w:b/>
          <w:bCs/>
          <w:color w:val="1A4F7A"/>
          <w:sz w:val="28"/>
          <w:szCs w:val="28"/>
        </w:rPr>
        <w:t xml:space="preserve">1.2 Platform &amp; Commission Models Supported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000"/>
        <w:gridCol w:w="1500"/>
        <w:gridCol w:w="2160"/>
      </w:tblGrid>
      <w:tr>
        <w:tc>
          <w:tcPr>
            <w:tcW w:type="dxa" w:w="2700"/>
            <w:tcBorders>
              <w:top w:val="single" w:color="D1D5DB" w:sz="1"/>
              <w:left w:val="single" w:color="D1D5DB" w:sz="1"/>
              <w:bottom w:val="single" w:color="D1D5DB" w:sz="1"/>
              <w:right w:val="single" w:color="D1D5DB" w:sz="1"/>
            </w:tcBorders>
            <w:shd w:fill="0D2137"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Platform</w:t>
            </w:r>
          </w:p>
        </w:tc>
        <w:tc>
          <w:tcPr>
            <w:tcW w:type="dxa" w:w="3000"/>
            <w:tcBorders>
              <w:top w:val="single" w:color="D1D5DB" w:sz="1"/>
              <w:left w:val="single" w:color="D1D5DB" w:sz="1"/>
              <w:bottom w:val="single" w:color="D1D5DB" w:sz="1"/>
              <w:right w:val="single" w:color="D1D5DB" w:sz="1"/>
            </w:tcBorders>
            <w:shd w:fill="0D2137"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Revenue Model</w:t>
            </w:r>
          </w:p>
        </w:tc>
        <w:tc>
          <w:tcPr>
            <w:tcW w:type="dxa" w:w="1500"/>
            <w:tcBorders>
              <w:top w:val="single" w:color="D1D5DB" w:sz="1"/>
              <w:left w:val="single" w:color="D1D5DB" w:sz="1"/>
              <w:bottom w:val="single" w:color="D1D5DB" w:sz="1"/>
              <w:right w:val="single" w:color="D1D5DB" w:sz="1"/>
            </w:tcBorders>
            <w:shd w:fill="0D2137"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Daily Cost</w:t>
            </w:r>
          </w:p>
        </w:tc>
        <w:tc>
          <w:tcPr>
            <w:tcW w:type="dxa" w:w="2160"/>
            <w:tcBorders>
              <w:top w:val="single" w:color="D1D5DB" w:sz="1"/>
              <w:left w:val="single" w:color="D1D5DB" w:sz="1"/>
              <w:bottom w:val="single" w:color="D1D5DB" w:sz="1"/>
              <w:right w:val="single" w:color="D1D5DB" w:sz="1"/>
            </w:tcBorders>
            <w:shd w:fill="0D2137"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Commission Rate</w:t>
            </w:r>
          </w:p>
        </w:tc>
      </w:tr>
      <w:tr>
        <w:tc>
          <w:tcPr>
            <w:tcW w:type="dxa" w:w="2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Rapido (Subscription)</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₹50/day flat fee — driver retains 100% of fare</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₹50/day</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0%</w:t>
            </w:r>
          </w:p>
        </w:tc>
      </w:tr>
      <w:tr>
        <w:tc>
          <w:tcPr>
            <w:tcW w:type="dxa" w:w="27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Namma Yatri — PLANNED</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₹30/day — zero commission, cooperative model</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₹30/day</w:t>
            </w:r>
          </w:p>
        </w:tc>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0%</w:t>
            </w:r>
          </w:p>
        </w:tc>
      </w:tr>
      <w:tr>
        <w:tc>
          <w:tcPr>
            <w:tcW w:type="dxa" w:w="2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Uber (Driver Pass)</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₹113/day — zero commission on trips</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₹113/day</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0%</w:t>
            </w:r>
          </w:p>
        </w:tc>
      </w:tr>
      <w:tr>
        <w:tc>
          <w:tcPr>
            <w:tcW w:type="dxa" w:w="27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Ola (Subscription)</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₹80/day — zero commission on trips</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₹80/day</w:t>
            </w:r>
          </w:p>
        </w:tc>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0%</w:t>
            </w:r>
          </w:p>
        </w:tc>
      </w:tr>
      <w:tr>
        <w:tc>
          <w:tcPr>
            <w:tcW w:type="dxa" w:w="2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Uber (Legacy Commission)</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~20% platform cut deducted from base fare only</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20%</w:t>
            </w:r>
          </w:p>
        </w:tc>
      </w:tr>
      <w:tr>
        <w:tc>
          <w:tcPr>
            <w:tcW w:type="dxa" w:w="27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Ola (Legacy Commission)</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~25% platform cut deducted from base fare only</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w:t>
            </w:r>
          </w:p>
        </w:tc>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25%</w:t>
            </w:r>
          </w:p>
        </w:tc>
      </w:tr>
      <w:tr>
        <w:tc>
          <w:tcPr>
            <w:tcW w:type="dxa" w:w="2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Shadowfax</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~18% commission; delivery-heavy platform</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18%</w:t>
            </w:r>
          </w:p>
        </w:tc>
      </w:tr>
    </w:tbl>
    <w:p>
      <w:pPr>
        <w:spacing w:after="0" w:before="20"/>
      </w:pPr>
      <w:r>
        <w:rPr>
          <w:rFonts w:ascii="Arial" w:cs="Arial" w:eastAsia="Arial" w:hAnsi="Arial"/>
          <w:sz w:val="20"/>
          <w:szCs w:val="20"/>
        </w:rPr>
        <w:t xml:space="preserve"/>
      </w:r>
    </w:p>
    <w:p>
      <w:pPr>
        <w:spacing w:after="60" w:before="60"/>
      </w:pPr>
      <w:r>
        <w:rPr>
          <w:rFonts w:ascii="Arial" w:cs="Arial" w:eastAsia="Arial" w:hAnsi="Arial"/>
          <w:sz w:val="20"/>
          <w:szCs w:val="20"/>
        </w:rPr>
        <w:t xml:space="preserve">Subscription fees are amortised per completed trip via the SessionTracker module (see §6.5). Incentive bonuses and streak payments are NOT subject to platform commission — they are paid directly by the platform on top of the fare.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top"/>
          </w:tcPr>
          <w:p>
            <w:pPr>
              <w:spacing w:after="20" w:before="20"/>
            </w:pPr>
            <w:r>
              <w:rPr>
                <w:rFonts w:ascii="Arial" w:cs="Arial" w:eastAsia="Arial" w:hAnsi="Arial"/>
                <w:b/>
                <w:bCs/>
                <w:sz w:val="20"/>
                <w:szCs w:val="20"/>
              </w:rPr>
              <w:t xml:space="preserve">✏️</w:t>
            </w:r>
          </w:p>
        </w:tc>
        <w:tc>
          <w:tcPr>
            <w:tcW w:type="dxa" w:w="90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top"/>
          </w:tcPr>
          <w:p>
            <w:pPr>
              <w:spacing w:after="20" w:before="20"/>
            </w:pPr>
            <w:r>
              <w:rPr>
                <w:rFonts w:ascii="Arial" w:cs="Arial" w:eastAsia="Arial" w:hAnsi="Arial"/>
                <w:color w:val="166534"/>
                <w:sz w:val="18"/>
                <w:szCs w:val="18"/>
              </w:rPr>
              <w:t xml:space="preserve">v2.0 Fix: Bonus amounts are now explicitly commission-exempt in all GrossFare calculations. See §2.1 and §5 worked example.</w:t>
            </w:r>
          </w:p>
        </w:tc>
      </w:tr>
    </w:tbl>
    <w:p>
      <w:r>
        <w:br w:type="page"/>
      </w:r>
    </w:p>
    <w:p>
      <w:pPr>
        <w:pBdr>
          <w:top w:val="none" w:color="FFFFFF" w:sz="0"/>
          <w:bottom w:val="single" w:color="1A4F7A" w:sz="8" w:space="1"/>
          <w:left w:val="none" w:color="FFFFFF" w:sz="0"/>
          <w:right w:val="none" w:color="FFFFFF" w:sz="0"/>
        </w:pBdr>
        <w:spacing w:after="120" w:before="400"/>
      </w:pPr>
      <w:r>
        <w:rPr>
          <w:rFonts w:ascii="Arial" w:cs="Arial" w:eastAsia="Arial" w:hAnsi="Arial"/>
          <w:b/>
          <w:bCs/>
          <w:color w:val="0D2137"/>
          <w:sz w:val="36"/>
          <w:szCs w:val="36"/>
        </w:rPr>
        <w:t xml:space="preserve">2. Gig-Economy Profitability Model</w:t>
      </w:r>
    </w:p>
    <w:p>
      <w:pPr>
        <w:spacing w:after="60" w:before="60"/>
      </w:pPr>
      <w:r>
        <w:rPr>
          <w:rFonts w:ascii="Arial" w:cs="Arial" w:eastAsia="Arial" w:hAnsi="Arial"/>
          <w:sz w:val="20"/>
          <w:szCs w:val="20"/>
        </w:rPr>
        <w:t xml:space="preserve">True economic profit in gig driving is fundamentally different from gross revenue. The engine computes net earnings after deducting all explicit operational expenditures and implicit opportunity costs. Most drivers operate under a dangerous illusion of gross revenue — accepting rides that yield low or even negative net margins when all costs are properly accounted for.</w:t>
      </w:r>
    </w:p>
    <w:p>
      <w:pPr>
        <w:spacing w:after="100" w:before="280"/>
      </w:pPr>
      <w:r>
        <w:rPr>
          <w:rFonts w:ascii="Arial" w:cs="Arial" w:eastAsia="Arial" w:hAnsi="Arial"/>
          <w:b/>
          <w:bCs/>
          <w:color w:val="1A4F7A"/>
          <w:sz w:val="28"/>
          <w:szCs w:val="28"/>
        </w:rPr>
        <w:t xml:space="preserve">2.1 Core Profitability Formula</w:t>
      </w:r>
    </w:p>
    <w:p>
      <w:pPr>
        <w:spacing w:after="60" w:before="60"/>
      </w:pPr>
      <w:r>
        <w:rPr>
          <w:rFonts w:ascii="Arial" w:cs="Arial" w:eastAsia="Arial" w:hAnsi="Arial"/>
          <w:sz w:val="20"/>
          <w:szCs w:val="20"/>
        </w:rPr>
        <w:t xml:space="preserve">Pickup distance fuel and maintenance costs are implicitly included by using TotalDistKm = PickupDistKm + TripDistKm in the cost calculation. There is no separate PickupCost term — it flows through the FuelCost and MaintenanceCost deductions automatically.</w:t>
      </w:r>
    </w:p>
    <w:p>
      <w:pPr>
        <w:spacing w:after="0" w:before="1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4F7A" w:sz="1"/>
              <w:left w:val="single" w:color="1A4F7A" w:sz="1"/>
              <w:bottom w:val="single" w:color="1A4F7A" w:sz="1"/>
              <w:right w:val="single" w:color="1A4F7A" w:sz="1"/>
            </w:tcBorders>
            <w:shd w:fill="D0E4F5" w:val="clear"/>
            <w:tcMar>
              <w:top w:type="dxa" w:w="80"/>
              <w:left w:type="dxa" w:w="200"/>
              <w:bottom w:type="dxa" w:w="20"/>
              <w:right w:type="dxa" w:w="200"/>
            </w:tcMar>
          </w:tcPr>
          <w:p>
            <w:pPr>
              <w:spacing w:after="20" w:before="20"/>
            </w:pPr>
            <w:r>
              <w:rPr>
                <w:rFonts w:ascii="Arial" w:cs="Arial" w:eastAsia="Arial" w:hAnsi="Arial"/>
                <w:b/>
                <w:bCs/>
                <w:color w:val="1A4F7A"/>
                <w:sz w:val="18"/>
                <w:szCs w:val="18"/>
              </w:rPr>
              <w:t xml:space="preserve">Net Profit Formula</w:t>
            </w:r>
          </w:p>
        </w:tc>
      </w:tr>
      <w:tr>
        <w:tc>
          <w:tcPr>
            <w:tcW w:type="dxa" w:w="9360"/>
            <w:tcBorders>
              <w:top w:val="single" w:color="1A4F7A" w:sz="1"/>
              <w:left w:val="single" w:color="1A4F7A" w:sz="1"/>
              <w:bottom w:val="single" w:color="1A4F7A" w:sz="1"/>
              <w:right w:val="single" w:color="1A4F7A" w:sz="1"/>
            </w:tcBorders>
            <w:shd w:fill="FFFFFF" w:val="clear"/>
            <w:tcMar>
              <w:top w:type="dxa" w:w="100"/>
              <w:left w:type="dxa" w:w="200"/>
              <w:bottom w:type="dxa" w:w="100"/>
              <w:right w:type="dxa" w:w="200"/>
            </w:tcMar>
          </w:tcPr>
          <w:p>
            <w:pPr>
              <w:spacing w:after="20" w:before="20"/>
            </w:pPr>
            <w:r>
              <w:rPr>
                <w:rFonts w:ascii="Courier New" w:cs="Courier New" w:eastAsia="Courier New" w:hAnsi="Courier New"/>
                <w:b/>
                <w:bCs/>
                <w:color w:val="1E3A5F"/>
                <w:sz w:val="22"/>
                <w:szCs w:val="22"/>
              </w:rPr>
              <w:t xml:space="preserve">NetProfit = GrossFare − FuelCost(TotalDist) − MaintenanceCost(TotalDist) − IdleTimeCost</w:t>
            </w:r>
          </w:p>
        </w:tc>
      </w:tr>
      <w:tr>
        <w:tc>
          <w:tcPr>
            <w:tcW w:type="dxa" w:w="9360"/>
            <w:tcBorders>
              <w:top w:val="single" w:color="1A4F7A" w:sz="1"/>
              <w:left w:val="single" w:color="1A4F7A" w:sz="1"/>
              <w:bottom w:val="single" w:color="1A4F7A" w:sz="1"/>
              <w:right w:val="single" w:color="1A4F7A" w:sz="1"/>
            </w:tcBorders>
            <w:shd w:fill="EFF6FF" w:val="clear"/>
            <w:tcMar>
              <w:top w:type="dxa" w:w="60"/>
              <w:left w:type="dxa" w:w="200"/>
              <w:bottom w:type="dxa" w:w="60"/>
              <w:right w:type="dxa" w:w="200"/>
            </w:tcMar>
          </w:tcPr>
          <w:p>
            <w:pPr>
              <w:spacing w:after="20" w:before="20"/>
            </w:pPr>
            <w:r>
              <w:rPr>
                <w:rFonts w:ascii="Arial" w:cs="Arial" w:eastAsia="Arial" w:hAnsi="Arial"/>
                <w:i/>
                <w:iCs/>
                <w:color w:val="374151"/>
                <w:sz w:val="18"/>
                <w:szCs w:val="18"/>
              </w:rPr>
              <w:t xml:space="preserve">TotalDist = PickupDistKm + TripDistKm. Pickup deadhead costs are fully captured via TotalDist in both FuelCost and MaintenanceCost.</w:t>
            </w:r>
          </w:p>
        </w:tc>
      </w:tr>
    </w:tbl>
    <w:p>
      <w:pPr>
        <w:spacing w:after="0" w:before="2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4F7A" w:sz="1"/>
              <w:left w:val="single" w:color="1A4F7A" w:sz="1"/>
              <w:bottom w:val="single" w:color="1A4F7A" w:sz="1"/>
              <w:right w:val="single" w:color="1A4F7A" w:sz="1"/>
            </w:tcBorders>
            <w:shd w:fill="D0E4F5" w:val="clear"/>
            <w:tcMar>
              <w:top w:type="dxa" w:w="80"/>
              <w:left w:type="dxa" w:w="200"/>
              <w:bottom w:type="dxa" w:w="20"/>
              <w:right w:type="dxa" w:w="200"/>
            </w:tcMar>
          </w:tcPr>
          <w:p>
            <w:pPr>
              <w:spacing w:after="20" w:before="20"/>
            </w:pPr>
            <w:r>
              <w:rPr>
                <w:rFonts w:ascii="Arial" w:cs="Arial" w:eastAsia="Arial" w:hAnsi="Arial"/>
                <w:b/>
                <w:bCs/>
                <w:color w:val="1A4F7A"/>
                <w:sz w:val="18"/>
                <w:szCs w:val="18"/>
              </w:rPr>
              <w:t xml:space="preserve">Gross Fare — Commission Model</w:t>
            </w:r>
          </w:p>
        </w:tc>
      </w:tr>
      <w:tr>
        <w:tc>
          <w:tcPr>
            <w:tcW w:type="dxa" w:w="9360"/>
            <w:tcBorders>
              <w:top w:val="single" w:color="1A4F7A" w:sz="1"/>
              <w:left w:val="single" w:color="1A4F7A" w:sz="1"/>
              <w:bottom w:val="single" w:color="1A4F7A" w:sz="1"/>
              <w:right w:val="single" w:color="1A4F7A" w:sz="1"/>
            </w:tcBorders>
            <w:shd w:fill="FFFFFF" w:val="clear"/>
            <w:tcMar>
              <w:top w:type="dxa" w:w="100"/>
              <w:left w:type="dxa" w:w="200"/>
              <w:bottom w:type="dxa" w:w="100"/>
              <w:right w:type="dxa" w:w="200"/>
            </w:tcMar>
          </w:tcPr>
          <w:p>
            <w:pPr>
              <w:spacing w:after="20" w:before="20"/>
            </w:pPr>
            <w:r>
              <w:rPr>
                <w:rFonts w:ascii="Courier New" w:cs="Courier New" w:eastAsia="Courier New" w:hAnsi="Courier New"/>
                <w:b/>
                <w:bCs/>
                <w:color w:val="1E3A5F"/>
                <w:sz w:val="22"/>
                <w:szCs w:val="22"/>
              </w:rPr>
              <w:t xml:space="preserve">GrossFare = (BaseFare × SurgeMultiplier × (1 − CommissionRate)) + BonusAmount</w:t>
            </w:r>
          </w:p>
        </w:tc>
      </w:tr>
      <w:tr>
        <w:tc>
          <w:tcPr>
            <w:tcW w:type="dxa" w:w="9360"/>
            <w:tcBorders>
              <w:top w:val="single" w:color="1A4F7A" w:sz="1"/>
              <w:left w:val="single" w:color="1A4F7A" w:sz="1"/>
              <w:bottom w:val="single" w:color="1A4F7A" w:sz="1"/>
              <w:right w:val="single" w:color="1A4F7A" w:sz="1"/>
            </w:tcBorders>
            <w:shd w:fill="EFF6FF" w:val="clear"/>
            <w:tcMar>
              <w:top w:type="dxa" w:w="60"/>
              <w:left w:type="dxa" w:w="200"/>
              <w:bottom w:type="dxa" w:w="60"/>
              <w:right w:type="dxa" w:w="200"/>
            </w:tcMar>
          </w:tcPr>
          <w:p>
            <w:pPr>
              <w:spacing w:after="20" w:before="20"/>
            </w:pPr>
            <w:r>
              <w:rPr>
                <w:rFonts w:ascii="Arial" w:cs="Arial" w:eastAsia="Arial" w:hAnsi="Arial"/>
                <w:i/>
                <w:iCs/>
                <w:color w:val="374151"/>
                <w:sz w:val="18"/>
                <w:szCs w:val="18"/>
              </w:rPr>
              <w:t xml:space="preserve">BonusAmount is NOT subject to commission. It is added after the commission deduction.</w:t>
            </w:r>
          </w:p>
        </w:tc>
      </w:tr>
    </w:tbl>
    <w:p>
      <w:pPr>
        <w:spacing w:after="0" w:before="2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4F7A" w:sz="1"/>
              <w:left w:val="single" w:color="1A4F7A" w:sz="1"/>
              <w:bottom w:val="single" w:color="1A4F7A" w:sz="1"/>
              <w:right w:val="single" w:color="1A4F7A" w:sz="1"/>
            </w:tcBorders>
            <w:shd w:fill="D0E4F5" w:val="clear"/>
            <w:tcMar>
              <w:top w:type="dxa" w:w="80"/>
              <w:left w:type="dxa" w:w="200"/>
              <w:bottom w:type="dxa" w:w="20"/>
              <w:right w:type="dxa" w:w="200"/>
            </w:tcMar>
          </w:tcPr>
          <w:p>
            <w:pPr>
              <w:spacing w:after="20" w:before="20"/>
            </w:pPr>
            <w:r>
              <w:rPr>
                <w:rFonts w:ascii="Arial" w:cs="Arial" w:eastAsia="Arial" w:hAnsi="Arial"/>
                <w:b/>
                <w:bCs/>
                <w:color w:val="1A4F7A"/>
                <w:sz w:val="18"/>
                <w:szCs w:val="18"/>
              </w:rPr>
              <w:t xml:space="preserve">Gross Fare — Subscription Model</w:t>
            </w:r>
          </w:p>
        </w:tc>
      </w:tr>
      <w:tr>
        <w:tc>
          <w:tcPr>
            <w:tcW w:type="dxa" w:w="9360"/>
            <w:tcBorders>
              <w:top w:val="single" w:color="1A4F7A" w:sz="1"/>
              <w:left w:val="single" w:color="1A4F7A" w:sz="1"/>
              <w:bottom w:val="single" w:color="1A4F7A" w:sz="1"/>
              <w:right w:val="single" w:color="1A4F7A" w:sz="1"/>
            </w:tcBorders>
            <w:shd w:fill="FFFFFF" w:val="clear"/>
            <w:tcMar>
              <w:top w:type="dxa" w:w="100"/>
              <w:left w:type="dxa" w:w="200"/>
              <w:bottom w:type="dxa" w:w="100"/>
              <w:right w:type="dxa" w:w="200"/>
            </w:tcMar>
          </w:tcPr>
          <w:p>
            <w:pPr>
              <w:spacing w:after="20" w:before="20"/>
            </w:pPr>
            <w:r>
              <w:rPr>
                <w:rFonts w:ascii="Courier New" w:cs="Courier New" w:eastAsia="Courier New" w:hAnsi="Courier New"/>
                <w:b/>
                <w:bCs/>
                <w:color w:val="1E3A5F"/>
                <w:sz w:val="22"/>
                <w:szCs w:val="22"/>
              </w:rPr>
              <w:t xml:space="preserve">GrossFare = (BaseFare × SurgeMultiplier) + BonusAmount − SubscriptionAmortisedPerTrip</w:t>
            </w:r>
          </w:p>
        </w:tc>
      </w:tr>
      <w:tr>
        <w:tc>
          <w:tcPr>
            <w:tcW w:type="dxa" w:w="9360"/>
            <w:tcBorders>
              <w:top w:val="single" w:color="1A4F7A" w:sz="1"/>
              <w:left w:val="single" w:color="1A4F7A" w:sz="1"/>
              <w:bottom w:val="single" w:color="1A4F7A" w:sz="1"/>
              <w:right w:val="single" w:color="1A4F7A" w:sz="1"/>
            </w:tcBorders>
            <w:shd w:fill="EFF6FF" w:val="clear"/>
            <w:tcMar>
              <w:top w:type="dxa" w:w="60"/>
              <w:left w:type="dxa" w:w="200"/>
              <w:bottom w:type="dxa" w:w="60"/>
              <w:right w:type="dxa" w:w="200"/>
            </w:tcMar>
          </w:tcPr>
          <w:p>
            <w:pPr>
              <w:spacing w:after="20" w:before="20"/>
            </w:pPr>
            <w:r>
              <w:rPr>
                <w:rFonts w:ascii="Arial" w:cs="Arial" w:eastAsia="Arial" w:hAnsi="Arial"/>
                <w:i/>
                <w:iCs/>
                <w:color w:val="374151"/>
                <w:sz w:val="18"/>
                <w:szCs w:val="18"/>
              </w:rPr>
              <w:t xml:space="preserve">SubscriptionAmortisedPerTrip is computed by the SessionTracker module (§6.5). BonusAmount is fully retained by the driver.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top"/>
          </w:tcPr>
          <w:p>
            <w:pPr>
              <w:spacing w:after="20" w:before="20"/>
            </w:pPr>
            <w:r>
              <w:rPr>
                <w:rFonts w:ascii="Arial" w:cs="Arial" w:eastAsia="Arial" w:hAnsi="Arial"/>
                <w:b/>
                <w:bCs/>
                <w:sz w:val="20"/>
                <w:szCs w:val="20"/>
              </w:rPr>
              <w:t xml:space="preserve">✏️</w:t>
            </w:r>
          </w:p>
        </w:tc>
        <w:tc>
          <w:tcPr>
            <w:tcW w:type="dxa" w:w="90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top"/>
          </w:tcPr>
          <w:p>
            <w:pPr>
              <w:spacing w:after="20" w:before="20"/>
            </w:pPr>
            <w:r>
              <w:rPr>
                <w:rFonts w:ascii="Arial" w:cs="Arial" w:eastAsia="Arial" w:hAnsi="Arial"/>
                <w:color w:val="166534"/>
                <w:sz w:val="18"/>
                <w:szCs w:val="18"/>
              </w:rPr>
              <w:t xml:space="preserve">v2.0 Fix: Previous formula applied commission to BonusAmount — incorrect. Bonuses are platform-paid incentives, not fare revenue subject to commission deduction. This fix adds ~₹4–₹20 per ride to GrossFare accuracy.</w:t>
            </w:r>
          </w:p>
        </w:tc>
      </w:tr>
    </w:tbl>
    <w:p>
      <w:pPr>
        <w:spacing w:after="100" w:before="280"/>
      </w:pPr>
      <w:r>
        <w:rPr>
          <w:rFonts w:ascii="Arial" w:cs="Arial" w:eastAsia="Arial" w:hAnsi="Arial"/>
          <w:b/>
          <w:bCs/>
          <w:color w:val="1A4F7A"/>
          <w:sz w:val="28"/>
          <w:szCs w:val="28"/>
        </w:rPr>
        <w:t xml:space="preserve">2.2 Fuel &amp; Energy Cost Model</w:t>
      </w:r>
    </w:p>
    <w:p>
      <w:pPr>
        <w:spacing w:after="60" w:before="60"/>
      </w:pPr>
      <w:r>
        <w:rPr>
          <w:rFonts w:ascii="Arial" w:cs="Arial" w:eastAsia="Arial" w:hAnsi="Arial"/>
          <w:sz w:val="20"/>
          <w:szCs w:val="20"/>
        </w:rPr>
        <w:t xml:space="preserve">Fuel type is the single greatest variable in cost-per-km calculations. The engine stores city-specific fuel prices and vehicle efficiency rates. Delhi NCR Reference (March 2026): Petrol ₹94.77/L · Diesel ₹87.67/L · CNG ₹77.09/kg · EV ₹8.00/kWh.</w:t>
      </w:r>
    </w:p>
    <w:p>
      <w:pPr>
        <w:spacing w:after="0" w:before="1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00"/>
        <w:gridCol w:w="3060"/>
      </w:tblGrid>
      <w:tr>
        <w:tc>
          <w:tcPr>
            <w:tcW w:type="dxa" w:w="1800"/>
            <w:tcBorders>
              <w:top w:val="single" w:color="D1D5DB" w:sz="1"/>
              <w:left w:val="single" w:color="D1D5DB" w:sz="1"/>
              <w:bottom w:val="single" w:color="D1D5DB" w:sz="1"/>
              <w:right w:val="single" w:color="D1D5DB" w:sz="1"/>
            </w:tcBorders>
            <w:shd w:fill="0D2137"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Fuel Type</w:t>
            </w:r>
          </w:p>
        </w:tc>
        <w:tc>
          <w:tcPr>
            <w:tcW w:type="dxa" w:w="4500"/>
            <w:tcBorders>
              <w:top w:val="single" w:color="D1D5DB" w:sz="1"/>
              <w:left w:val="single" w:color="D1D5DB" w:sz="1"/>
              <w:bottom w:val="single" w:color="D1D5DB" w:sz="1"/>
              <w:right w:val="single" w:color="D1D5DB" w:sz="1"/>
            </w:tcBorders>
            <w:shd w:fill="0D2137"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Cost Formula</w:t>
            </w:r>
          </w:p>
        </w:tc>
        <w:tc>
          <w:tcPr>
            <w:tcW w:type="dxa" w:w="3060"/>
            <w:tcBorders>
              <w:top w:val="single" w:color="D1D5DB" w:sz="1"/>
              <w:left w:val="single" w:color="D1D5DB" w:sz="1"/>
              <w:bottom w:val="single" w:color="D1D5DB" w:sz="1"/>
              <w:right w:val="single" w:color="D1D5DB" w:sz="1"/>
            </w:tcBorders>
            <w:shd w:fill="0D2137"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Running Cost Benchmark</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Petrol</w:t>
            </w:r>
          </w:p>
        </w:tc>
        <w:tc>
          <w:tcPr>
            <w:tcW w:type="dxa" w:w="4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FuelCost = TotalDistKm × (PetrolPrice ÷ MileageKmPerLitre)</w:t>
            </w:r>
          </w:p>
        </w:tc>
        <w:tc>
          <w:tcPr>
            <w:tcW w:type="dxa" w:w="3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~₹3.21/km (commercial)</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Diesel</w:t>
            </w:r>
          </w:p>
        </w:tc>
        <w:tc>
          <w:tcPr>
            <w:tcW w:type="dxa" w:w="4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FuelCost = TotalDistKm × (DieselPrice ÷ MileageKmPerLitre)</w:t>
            </w:r>
          </w:p>
        </w:tc>
        <w:tc>
          <w:tcPr>
            <w:tcW w:type="dxa" w:w="30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~₹2.69/km (commercial)</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CNG</w:t>
            </w:r>
          </w:p>
        </w:tc>
        <w:tc>
          <w:tcPr>
            <w:tcW w:type="dxa" w:w="4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FuelCost = TotalDistKm × (CNGPrice ÷ MileageKmPerKg)</w:t>
            </w:r>
          </w:p>
        </w:tc>
        <w:tc>
          <w:tcPr>
            <w:tcW w:type="dxa" w:w="3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~₹2.35/km (commercial)</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Electric (EV)</w:t>
            </w:r>
          </w:p>
        </w:tc>
        <w:tc>
          <w:tcPr>
            <w:tcW w:type="dxa" w:w="4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FuelCost = TotalDistKm × (ElectricityRate × ConsumptionKWhPerKm)</w:t>
            </w:r>
          </w:p>
        </w:tc>
        <w:tc>
          <w:tcPr>
            <w:tcW w:type="dxa" w:w="30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~₹1.28/km (commercial)</w:t>
            </w:r>
          </w:p>
        </w:tc>
      </w:tr>
    </w:tbl>
    <w:p>
      <w:pPr>
        <w:spacing w:after="100" w:before="280"/>
      </w:pPr>
      <w:r>
        <w:rPr>
          <w:rFonts w:ascii="Arial" w:cs="Arial" w:eastAsia="Arial" w:hAnsi="Arial"/>
          <w:b/>
          <w:bCs/>
          <w:color w:val="1A4F7A"/>
          <w:sz w:val="28"/>
          <w:szCs w:val="28"/>
        </w:rPr>
        <w:t xml:space="preserve">2.3 Vehicle Maintenance &amp; Depreciation Model</w:t>
      </w:r>
    </w:p>
    <w:p>
      <w:pPr>
        <w:spacing w:after="60" w:before="60"/>
      </w:pPr>
      <w:r>
        <w:rPr>
          <w:rFonts w:ascii="Arial" w:cs="Arial" w:eastAsia="Arial" w:hAnsi="Arial"/>
          <w:sz w:val="20"/>
          <w:szCs w:val="20"/>
        </w:rPr>
        <w:t xml:space="preserve">Maintenance is episodic but continuous in financial impact. Every kilometre driven contributes to tyre wear, oil degradation, brake pad consumption, and capital value erosion. The engine amortises these costs into a per-kilometre rate.</w:t>
      </w:r>
    </w:p>
    <w:p>
      <w:pPr>
        <w:spacing w:after="0" w:before="1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20"/>
        <w:gridCol w:w="2820"/>
        <w:gridCol w:w="2820"/>
      </w:tblGrid>
      <w:tr>
        <w:tc>
          <w:tcPr>
            <w:tcW w:type="dxa" w:w="3720"/>
            <w:tcBorders>
              <w:top w:val="single" w:color="D1D5DB" w:sz="1"/>
              <w:left w:val="single" w:color="D1D5DB" w:sz="1"/>
              <w:bottom w:val="single" w:color="D1D5DB" w:sz="1"/>
              <w:right w:val="single" w:color="D1D5DB" w:sz="1"/>
            </w:tcBorders>
            <w:shd w:fill="0D2137"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Component</w:t>
            </w:r>
          </w:p>
        </w:tc>
        <w:tc>
          <w:tcPr>
            <w:tcW w:type="dxa" w:w="2820"/>
            <w:tcBorders>
              <w:top w:val="single" w:color="D1D5DB" w:sz="1"/>
              <w:left w:val="single" w:color="D1D5DB" w:sz="1"/>
              <w:bottom w:val="single" w:color="D1D5DB" w:sz="1"/>
              <w:right w:val="single" w:color="D1D5DB" w:sz="1"/>
            </w:tcBorders>
            <w:shd w:fill="0D2137"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Rate 2W</w:t>
            </w:r>
          </w:p>
        </w:tc>
        <w:tc>
          <w:tcPr>
            <w:tcW w:type="dxa" w:w="2820"/>
            <w:tcBorders>
              <w:top w:val="single" w:color="D1D5DB" w:sz="1"/>
              <w:left w:val="single" w:color="D1D5DB" w:sz="1"/>
              <w:bottom w:val="single" w:color="D1D5DB" w:sz="1"/>
              <w:right w:val="single" w:color="D1D5DB" w:sz="1"/>
            </w:tcBorders>
            <w:shd w:fill="0D2137"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Rate 4W</w:t>
            </w:r>
          </w:p>
        </w:tc>
      </w:tr>
      <w:tr>
        <w:tc>
          <w:tcPr>
            <w:tcW w:type="dxa" w:w="37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Tyre Wear Rate</w:t>
            </w:r>
          </w:p>
        </w:tc>
        <w:tc>
          <w:tcPr>
            <w:tcW w:type="dxa" w:w="28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₹0.20/km</w:t>
            </w:r>
          </w:p>
        </w:tc>
        <w:tc>
          <w:tcPr>
            <w:tcW w:type="dxa" w:w="28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₹0.60–₹0.80/km</w:t>
            </w:r>
          </w:p>
        </w:tc>
      </w:tr>
      <w:tr>
        <w:tc>
          <w:tcPr>
            <w:tcW w:type="dxa" w:w="37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Oil Change Rate</w:t>
            </w:r>
          </w:p>
        </w:tc>
        <w:tc>
          <w:tcPr>
            <w:tcW w:type="dxa" w:w="28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₹0.20/km</w:t>
            </w:r>
          </w:p>
        </w:tc>
        <w:tc>
          <w:tcPr>
            <w:tcW w:type="dxa" w:w="28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₹0.30–₹0.40/km</w:t>
            </w:r>
          </w:p>
        </w:tc>
      </w:tr>
      <w:tr>
        <w:tc>
          <w:tcPr>
            <w:tcW w:type="dxa" w:w="37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Servicing Rate</w:t>
            </w:r>
          </w:p>
        </w:tc>
        <w:tc>
          <w:tcPr>
            <w:tcW w:type="dxa" w:w="28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₹0.20/km</w:t>
            </w:r>
          </w:p>
        </w:tc>
        <w:tc>
          <w:tcPr>
            <w:tcW w:type="dxa" w:w="28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₹0.40–₹0.60/km</w:t>
            </w:r>
          </w:p>
        </w:tc>
      </w:tr>
      <w:tr>
        <w:tc>
          <w:tcPr>
            <w:tcW w:type="dxa" w:w="37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Depreciation (WDV Method)</w:t>
            </w:r>
          </w:p>
        </w:tc>
        <w:tc>
          <w:tcPr>
            <w:tcW w:type="dxa" w:w="28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₹0.60–₹1.20/km</w:t>
            </w:r>
          </w:p>
        </w:tc>
        <w:tc>
          <w:tcPr>
            <w:tcW w:type="dxa" w:w="28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₹0.50–₹2.00/km</w:t>
            </w:r>
          </w:p>
        </w:tc>
      </w:tr>
      <w:tr>
        <w:tc>
          <w:tcPr>
            <w:tcW w:type="dxa" w:w="37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Total MaintenanceCPK</w:t>
            </w:r>
          </w:p>
        </w:tc>
        <w:tc>
          <w:tcPr>
            <w:tcW w:type="dxa" w:w="28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₹1.20–₹1.60/km</w:t>
            </w:r>
          </w:p>
        </w:tc>
        <w:tc>
          <w:tcPr>
            <w:tcW w:type="dxa" w:w="28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₹1.80–₹3.20/km</w:t>
            </w:r>
          </w:p>
        </w:tc>
      </w:tr>
    </w:tbl>
    <w:p>
      <w:pPr>
        <w:spacing w:after="0" w:before="1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4F7A" w:sz="1"/>
              <w:left w:val="single" w:color="1A4F7A" w:sz="1"/>
              <w:bottom w:val="single" w:color="1A4F7A" w:sz="1"/>
              <w:right w:val="single" w:color="1A4F7A" w:sz="1"/>
            </w:tcBorders>
            <w:shd w:fill="D0E4F5" w:val="clear"/>
            <w:tcMar>
              <w:top w:type="dxa" w:w="80"/>
              <w:left w:type="dxa" w:w="200"/>
              <w:bottom w:type="dxa" w:w="20"/>
              <w:right w:type="dxa" w:w="200"/>
            </w:tcMar>
          </w:tcPr>
          <w:p>
            <w:pPr>
              <w:spacing w:after="20" w:before="20"/>
            </w:pPr>
            <w:r>
              <w:rPr>
                <w:rFonts w:ascii="Arial" w:cs="Arial" w:eastAsia="Arial" w:hAnsi="Arial"/>
                <w:b/>
                <w:bCs/>
                <w:color w:val="1A4F7A"/>
                <w:sz w:val="18"/>
                <w:szCs w:val="18"/>
              </w:rPr>
              <w:t xml:space="preserve">Depreciation Per Km — Written-Down Value (WDV) Method</w:t>
            </w:r>
          </w:p>
        </w:tc>
      </w:tr>
      <w:tr>
        <w:tc>
          <w:tcPr>
            <w:tcW w:type="dxa" w:w="9360"/>
            <w:tcBorders>
              <w:top w:val="single" w:color="1A4F7A" w:sz="1"/>
              <w:left w:val="single" w:color="1A4F7A" w:sz="1"/>
              <w:bottom w:val="single" w:color="1A4F7A" w:sz="1"/>
              <w:right w:val="single" w:color="1A4F7A" w:sz="1"/>
            </w:tcBorders>
            <w:shd w:fill="FFFFFF" w:val="clear"/>
            <w:tcMar>
              <w:top w:type="dxa" w:w="100"/>
              <w:left w:type="dxa" w:w="200"/>
              <w:bottom w:type="dxa" w:w="100"/>
              <w:right w:type="dxa" w:w="200"/>
            </w:tcMar>
          </w:tcPr>
          <w:p>
            <w:pPr>
              <w:spacing w:after="20" w:before="20"/>
            </w:pPr>
            <w:r>
              <w:rPr>
                <w:rFonts w:ascii="Courier New" w:cs="Courier New" w:eastAsia="Courier New" w:hAnsi="Courier New"/>
                <w:b/>
                <w:bCs/>
                <w:color w:val="1E3A5F"/>
                <w:sz w:val="22"/>
                <w:szCs w:val="22"/>
              </w:rPr>
              <w:t xml:space="preserve">DepCPK = (VehiclePurchasePrice × WDVRate) ÷ AnnualKmDriven</w:t>
            </w:r>
          </w:p>
        </w:tc>
      </w:tr>
      <w:tr>
        <w:tc>
          <w:tcPr>
            <w:tcW w:type="dxa" w:w="9360"/>
            <w:tcBorders>
              <w:top w:val="single" w:color="1A4F7A" w:sz="1"/>
              <w:left w:val="single" w:color="1A4F7A" w:sz="1"/>
              <w:bottom w:val="single" w:color="1A4F7A" w:sz="1"/>
              <w:right w:val="single" w:color="1A4F7A" w:sz="1"/>
            </w:tcBorders>
            <w:shd w:fill="EFF6FF" w:val="clear"/>
            <w:tcMar>
              <w:top w:type="dxa" w:w="60"/>
              <w:left w:type="dxa" w:w="200"/>
              <w:bottom w:type="dxa" w:w="60"/>
              <w:right w:type="dxa" w:w="200"/>
            </w:tcMar>
          </w:tcPr>
          <w:p>
            <w:pPr>
              <w:spacing w:after="20" w:before="20"/>
            </w:pPr>
            <w:r>
              <w:rPr>
                <w:rFonts w:ascii="Arial" w:cs="Arial" w:eastAsia="Arial" w:hAnsi="Arial"/>
                <w:i/>
                <w:iCs/>
                <w:color w:val="374151"/>
                <w:sz w:val="18"/>
                <w:szCs w:val="18"/>
              </w:rPr>
              <w:t xml:space="preserve">Indian Income Tax Act: Commercial taxis eligible for 30% WDV depreciation (WDVRate = 0.30).</w:t>
            </w:r>
          </w:p>
        </w:tc>
      </w:tr>
    </w:tbl>
    <w:p>
      <w:pPr>
        <w:spacing w:after="100" w:before="280"/>
      </w:pPr>
      <w:r>
        <w:rPr>
          <w:rFonts w:ascii="Arial" w:cs="Arial" w:eastAsia="Arial" w:hAnsi="Arial"/>
          <w:b/>
          <w:bCs/>
          <w:color w:val="1A4F7A"/>
          <w:sz w:val="28"/>
          <w:szCs w:val="28"/>
        </w:rPr>
        <w:t xml:space="preserve">2.4 Pickup Penalty — The Hidden Profit Killer</w:t>
      </w:r>
    </w:p>
    <w:p>
      <w:pPr>
        <w:spacing w:after="60" w:before="60"/>
      </w:pPr>
      <w:r>
        <w:rPr>
          <w:rFonts w:ascii="Arial" w:cs="Arial" w:eastAsia="Arial" w:hAnsi="Arial"/>
          <w:sz w:val="20"/>
          <w:szCs w:val="20"/>
        </w:rPr>
        <w:t xml:space="preserve">Deadheading — driving to a pickup location without earning fare — is one of the most insidious profit killers in ride-hailing. The driver incurs full CPK costs during the pickup leg while earning zero revenue. The Pickup Penalty Ratio (PPR) quantifies this exposure.</w:t>
      </w:r>
    </w:p>
    <w:p>
      <w:pPr>
        <w:spacing w:after="0" w:before="1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4F7A" w:sz="1"/>
              <w:left w:val="single" w:color="1A4F7A" w:sz="1"/>
              <w:bottom w:val="single" w:color="1A4F7A" w:sz="1"/>
              <w:right w:val="single" w:color="1A4F7A" w:sz="1"/>
            </w:tcBorders>
            <w:shd w:fill="D0E4F5" w:val="clear"/>
            <w:tcMar>
              <w:top w:type="dxa" w:w="80"/>
              <w:left w:type="dxa" w:w="200"/>
              <w:bottom w:type="dxa" w:w="20"/>
              <w:right w:type="dxa" w:w="200"/>
            </w:tcMar>
          </w:tcPr>
          <w:p>
            <w:pPr>
              <w:spacing w:after="20" w:before="20"/>
            </w:pPr>
            <w:r>
              <w:rPr>
                <w:rFonts w:ascii="Arial" w:cs="Arial" w:eastAsia="Arial" w:hAnsi="Arial"/>
                <w:b/>
                <w:bCs/>
                <w:color w:val="1A4F7A"/>
                <w:sz w:val="18"/>
                <w:szCs w:val="18"/>
              </w:rPr>
              <w:t xml:space="preserve">Pickup Penalty Ratio (PPR)</w:t>
            </w:r>
          </w:p>
        </w:tc>
      </w:tr>
      <w:tr>
        <w:tc>
          <w:tcPr>
            <w:tcW w:type="dxa" w:w="9360"/>
            <w:tcBorders>
              <w:top w:val="single" w:color="1A4F7A" w:sz="1"/>
              <w:left w:val="single" w:color="1A4F7A" w:sz="1"/>
              <w:bottom w:val="single" w:color="1A4F7A" w:sz="1"/>
              <w:right w:val="single" w:color="1A4F7A" w:sz="1"/>
            </w:tcBorders>
            <w:shd w:fill="FFFFFF" w:val="clear"/>
            <w:tcMar>
              <w:top w:type="dxa" w:w="100"/>
              <w:left w:type="dxa" w:w="200"/>
              <w:bottom w:type="dxa" w:w="100"/>
              <w:right w:type="dxa" w:w="200"/>
            </w:tcMar>
          </w:tcPr>
          <w:p>
            <w:pPr>
              <w:spacing w:after="20" w:before="20"/>
            </w:pPr>
            <w:r>
              <w:rPr>
                <w:rFonts w:ascii="Courier New" w:cs="Courier New" w:eastAsia="Courier New" w:hAnsi="Courier New"/>
                <w:b/>
                <w:bCs/>
                <w:color w:val="1E3A5F"/>
                <w:sz w:val="22"/>
                <w:szCs w:val="22"/>
              </w:rPr>
              <w:t xml:space="preserve">PPR = PickupDistanceKm ÷ TripDistanceKm</w:t>
            </w:r>
          </w:p>
        </w:tc>
      </w:tr>
      <w:tr>
        <w:tc>
          <w:tcPr>
            <w:tcW w:type="dxa" w:w="9360"/>
            <w:tcBorders>
              <w:top w:val="single" w:color="1A4F7A" w:sz="1"/>
              <w:left w:val="single" w:color="1A4F7A" w:sz="1"/>
              <w:bottom w:val="single" w:color="1A4F7A" w:sz="1"/>
              <w:right w:val="single" w:color="1A4F7A" w:sz="1"/>
            </w:tcBorders>
            <w:shd w:fill="EFF6FF" w:val="clear"/>
            <w:tcMar>
              <w:top w:type="dxa" w:w="60"/>
              <w:left w:type="dxa" w:w="200"/>
              <w:bottom w:type="dxa" w:w="60"/>
              <w:right w:type="dxa" w:w="200"/>
            </w:tcMar>
          </w:tcPr>
          <w:p>
            <w:pPr>
              <w:spacing w:after="20" w:before="20"/>
            </w:pPr>
            <w:r>
              <w:rPr>
                <w:rFonts w:ascii="Arial" w:cs="Arial" w:eastAsia="Arial" w:hAnsi="Arial"/>
                <w:i/>
                <w:iCs/>
                <w:color w:val="374151"/>
                <w:sz w:val="18"/>
                <w:szCs w:val="18"/>
              </w:rPr>
              <w:t xml:space="preserve">PPR &gt; 0.50 is a red flag. PPR &gt; 0.80 triggers an immediate Hard Override → RED regardless of composite RideScore.</w:t>
            </w:r>
          </w:p>
        </w:tc>
      </w:tr>
    </w:tbl>
    <w:p>
      <w:pPr>
        <w:spacing w:after="0" w:before="10"/>
      </w:pPr>
      <w:r>
        <w:rPr>
          <w:rFonts w:ascii="Arial" w:cs="Arial" w:eastAsia="Arial" w:hAnsi="Arial"/>
          <w:sz w:val="20"/>
          <w:szCs w:val="2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520"/>
        <w:gridCol w:w="7200"/>
      </w:tblGrid>
      <w:tr>
        <w:tc>
          <w:tcPr>
            <w:tcW w:type="dxa" w:w="2520"/>
            <w:tcBorders>
              <w:top w:val="single" w:color="D1D5DB" w:sz="1"/>
              <w:left w:val="single" w:color="D1D5DB" w:sz="1"/>
              <w:bottom w:val="single" w:color="D1D5DB" w:sz="1"/>
              <w:right w:val="single" w:color="D1D5DB" w:sz="1"/>
            </w:tcBorders>
            <w:shd w:fill="0D2137"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PPR Value</w:t>
            </w:r>
          </w:p>
        </w:tc>
        <w:tc>
          <w:tcPr>
            <w:tcW w:type="dxa" w:w="7200"/>
            <w:tcBorders>
              <w:top w:val="single" w:color="D1D5DB" w:sz="1"/>
              <w:left w:val="single" w:color="D1D5DB" w:sz="1"/>
              <w:bottom w:val="single" w:color="D1D5DB" w:sz="1"/>
              <w:right w:val="single" w:color="D1D5DB" w:sz="1"/>
            </w:tcBorders>
            <w:shd w:fill="0D2137"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Assessment</w:t>
            </w:r>
          </w:p>
        </w:tc>
      </w:tr>
      <w:tr>
        <w:tc>
          <w:tcPr>
            <w:tcW w:type="dxa" w:w="2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PPR &lt; 0.20</w:t>
            </w:r>
          </w:p>
        </w:tc>
        <w:tc>
          <w:tcPr>
            <w:tcW w:type="dxa" w:w="7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Excellent — minimal deadhead, high value ride</w:t>
            </w:r>
          </w:p>
        </w:tc>
      </w:tr>
      <w:tr>
        <w:tc>
          <w:tcPr>
            <w:tcW w:type="dxa" w:w="25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PPR 0.20–0.35</w:t>
            </w:r>
          </w:p>
        </w:tc>
        <w:tc>
          <w:tcPr>
            <w:tcW w:type="dxa" w:w="7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Good — acceptable pickup distance</w:t>
            </w:r>
          </w:p>
        </w:tc>
      </w:tr>
      <w:tr>
        <w:tc>
          <w:tcPr>
            <w:tcW w:type="dxa" w:w="2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PPR 0.35–0.50</w:t>
            </w:r>
          </w:p>
        </w:tc>
        <w:tc>
          <w:tcPr>
            <w:tcW w:type="dxa" w:w="7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Moderate — calculate full score carefully before deciding</w:t>
            </w:r>
          </w:p>
        </w:tc>
      </w:tr>
      <w:tr>
        <w:tc>
          <w:tcPr>
            <w:tcW w:type="dxa" w:w="25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PPR &gt; 0.50</w:t>
            </w:r>
          </w:p>
        </w:tc>
        <w:tc>
          <w:tcPr>
            <w:tcW w:type="dxa" w:w="7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Poor — strong RED flag, heavily penalised in S4 scoring</w:t>
            </w:r>
          </w:p>
        </w:tc>
      </w:tr>
      <w:tr>
        <w:tc>
          <w:tcPr>
            <w:tcW w:type="dxa" w:w="2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PPR &gt; 0.80</w:t>
            </w:r>
          </w:p>
        </w:tc>
        <w:tc>
          <w:tcPr>
            <w:tcW w:type="dxa" w:w="7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Critical — Hard Override activates regardless of composite score</w:t>
            </w:r>
          </w:p>
        </w:tc>
      </w:tr>
    </w:tbl>
    <w:p>
      <w:pPr>
        <w:spacing w:after="100" w:before="280"/>
      </w:pPr>
      <w:r>
        <w:rPr>
          <w:rFonts w:ascii="Arial" w:cs="Arial" w:eastAsia="Arial" w:hAnsi="Arial"/>
          <w:b/>
          <w:bCs/>
          <w:color w:val="1A4F7A"/>
          <w:sz w:val="28"/>
          <w:szCs w:val="28"/>
        </w:rPr>
        <w:t xml:space="preserve">2.5 Idle Time &amp; Opportunity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4F7A" w:sz="1"/>
              <w:left w:val="single" w:color="1A4F7A" w:sz="1"/>
              <w:bottom w:val="single" w:color="1A4F7A" w:sz="1"/>
              <w:right w:val="single" w:color="1A4F7A" w:sz="1"/>
            </w:tcBorders>
            <w:shd w:fill="D0E4F5" w:val="clear"/>
            <w:tcMar>
              <w:top w:type="dxa" w:w="80"/>
              <w:left w:type="dxa" w:w="200"/>
              <w:bottom w:type="dxa" w:w="20"/>
              <w:right w:type="dxa" w:w="200"/>
            </w:tcMar>
          </w:tcPr>
          <w:p>
            <w:pPr>
              <w:spacing w:after="20" w:before="20"/>
            </w:pPr>
            <w:r>
              <w:rPr>
                <w:rFonts w:ascii="Arial" w:cs="Arial" w:eastAsia="Arial" w:hAnsi="Arial"/>
                <w:b/>
                <w:bCs/>
                <w:color w:val="1A4F7A"/>
                <w:sz w:val="18"/>
                <w:szCs w:val="18"/>
              </w:rPr>
              <w:t xml:space="preserve">Idle Time Cost</w:t>
            </w:r>
          </w:p>
        </w:tc>
      </w:tr>
      <w:tr>
        <w:tc>
          <w:tcPr>
            <w:tcW w:type="dxa" w:w="9360"/>
            <w:tcBorders>
              <w:top w:val="single" w:color="1A4F7A" w:sz="1"/>
              <w:left w:val="single" w:color="1A4F7A" w:sz="1"/>
              <w:bottom w:val="single" w:color="1A4F7A" w:sz="1"/>
              <w:right w:val="single" w:color="1A4F7A" w:sz="1"/>
            </w:tcBorders>
            <w:shd w:fill="FFFFFF" w:val="clear"/>
            <w:tcMar>
              <w:top w:type="dxa" w:w="100"/>
              <w:left w:type="dxa" w:w="200"/>
              <w:bottom w:type="dxa" w:w="100"/>
              <w:right w:type="dxa" w:w="200"/>
            </w:tcMar>
          </w:tcPr>
          <w:p>
            <w:pPr>
              <w:spacing w:after="20" w:before="20"/>
            </w:pPr>
            <w:r>
              <w:rPr>
                <w:rFonts w:ascii="Courier New" w:cs="Courier New" w:eastAsia="Courier New" w:hAnsi="Courier New"/>
                <w:b/>
                <w:bCs/>
                <w:color w:val="1E3A5F"/>
                <w:sz w:val="22"/>
                <w:szCs w:val="22"/>
              </w:rPr>
              <w:t xml:space="preserve">IdleTimeCost = IdleTimeHours × DriverHourlyTargetEarning</w:t>
            </w:r>
          </w:p>
        </w:tc>
      </w:tr>
      <w:tr>
        <w:tc>
          <w:tcPr>
            <w:tcW w:type="dxa" w:w="9360"/>
            <w:tcBorders>
              <w:top w:val="single" w:color="1A4F7A" w:sz="1"/>
              <w:left w:val="single" w:color="1A4F7A" w:sz="1"/>
              <w:bottom w:val="single" w:color="1A4F7A" w:sz="1"/>
              <w:right w:val="single" w:color="1A4F7A" w:sz="1"/>
            </w:tcBorders>
            <w:shd w:fill="EFF6FF" w:val="clear"/>
            <w:tcMar>
              <w:top w:type="dxa" w:w="60"/>
              <w:left w:type="dxa" w:w="200"/>
              <w:bottom w:type="dxa" w:w="60"/>
              <w:right w:type="dxa" w:w="200"/>
            </w:tcMar>
          </w:tcPr>
          <w:p>
            <w:pPr>
              <w:spacing w:after="20" w:before="20"/>
            </w:pPr>
            <w:r>
              <w:rPr>
                <w:rFonts w:ascii="Arial" w:cs="Arial" w:eastAsia="Arial" w:hAnsi="Arial"/>
                <w:i/>
                <w:iCs/>
                <w:color w:val="374151"/>
                <w:sz w:val="18"/>
                <w:szCs w:val="18"/>
              </w:rPr>
              <w:t xml:space="preserve">Opportunity cost of time. Typical targets: 2W ₹80/hr · 4W ₹150/hr. Sets the minimum hourly rate the driver must clear to sustain livelihood.</w:t>
            </w:r>
          </w:p>
        </w:tc>
      </w:tr>
    </w:tbl>
    <w:p>
      <w:pPr>
        <w:spacing w:after="100" w:before="280"/>
      </w:pPr>
      <w:r>
        <w:rPr>
          <w:rFonts w:ascii="Arial" w:cs="Arial" w:eastAsia="Arial" w:hAnsi="Arial"/>
          <w:b/>
          <w:bCs/>
          <w:color w:val="1A4F7A"/>
          <w:sz w:val="28"/>
          <w:szCs w:val="28"/>
        </w:rPr>
        <w:t xml:space="preserve">2.6 CPH Baseline — Protecting Driver Livelihood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4F7A" w:sz="1"/>
              <w:left w:val="single" w:color="1A4F7A" w:sz="1"/>
              <w:bottom w:val="single" w:color="1A4F7A" w:sz="1"/>
              <w:right w:val="single" w:color="1A4F7A" w:sz="1"/>
            </w:tcBorders>
            <w:shd w:fill="D0E4F5" w:val="clear"/>
            <w:tcMar>
              <w:top w:type="dxa" w:w="80"/>
              <w:left w:type="dxa" w:w="200"/>
              <w:bottom w:type="dxa" w:w="20"/>
              <w:right w:type="dxa" w:w="200"/>
            </w:tcMar>
          </w:tcPr>
          <w:p>
            <w:pPr>
              <w:spacing w:after="20" w:before="20"/>
            </w:pPr>
            <w:r>
              <w:rPr>
                <w:rFonts w:ascii="Arial" w:cs="Arial" w:eastAsia="Arial" w:hAnsi="Arial"/>
                <w:b/>
                <w:bCs/>
                <w:color w:val="1A4F7A"/>
                <w:sz w:val="18"/>
                <w:szCs w:val="18"/>
              </w:rPr>
              <w:t xml:space="preserve">Cost Per Hour (CPH) Baseline</w:t>
            </w:r>
          </w:p>
        </w:tc>
      </w:tr>
      <w:tr>
        <w:tc>
          <w:tcPr>
            <w:tcW w:type="dxa" w:w="9360"/>
            <w:tcBorders>
              <w:top w:val="single" w:color="1A4F7A" w:sz="1"/>
              <w:left w:val="single" w:color="1A4F7A" w:sz="1"/>
              <w:bottom w:val="single" w:color="1A4F7A" w:sz="1"/>
              <w:right w:val="single" w:color="1A4F7A" w:sz="1"/>
            </w:tcBorders>
            <w:shd w:fill="FFFFFF" w:val="clear"/>
            <w:tcMar>
              <w:top w:type="dxa" w:w="100"/>
              <w:left w:type="dxa" w:w="200"/>
              <w:bottom w:type="dxa" w:w="100"/>
              <w:right w:type="dxa" w:w="200"/>
            </w:tcMar>
          </w:tcPr>
          <w:p>
            <w:pPr>
              <w:spacing w:after="20" w:before="20"/>
            </w:pPr>
            <w:r>
              <w:rPr>
                <w:rFonts w:ascii="Courier New" w:cs="Courier New" w:eastAsia="Courier New" w:hAnsi="Courier New"/>
                <w:b/>
                <w:bCs/>
                <w:color w:val="1E3A5F"/>
                <w:sz w:val="22"/>
                <w:szCs w:val="22"/>
              </w:rPr>
              <w:t xml:space="preserve">CPH = (TargetMonthlyIncome + MonthlyEMI + Insurance) ÷ (WorkDays × HoursPerDay)</w:t>
            </w:r>
          </w:p>
        </w:tc>
      </w:tr>
      <w:tr>
        <w:tc>
          <w:tcPr>
            <w:tcW w:type="dxa" w:w="9360"/>
            <w:tcBorders>
              <w:top w:val="single" w:color="1A4F7A" w:sz="1"/>
              <w:left w:val="single" w:color="1A4F7A" w:sz="1"/>
              <w:bottom w:val="single" w:color="1A4F7A" w:sz="1"/>
              <w:right w:val="single" w:color="1A4F7A" w:sz="1"/>
            </w:tcBorders>
            <w:shd w:fill="EFF6FF" w:val="clear"/>
            <w:tcMar>
              <w:top w:type="dxa" w:w="60"/>
              <w:left w:type="dxa" w:w="200"/>
              <w:bottom w:type="dxa" w:w="60"/>
              <w:right w:type="dxa" w:w="200"/>
            </w:tcMar>
          </w:tcPr>
          <w:p>
            <w:pPr>
              <w:spacing w:after="20" w:before="20"/>
            </w:pPr>
            <w:r>
              <w:rPr>
                <w:rFonts w:ascii="Arial" w:cs="Arial" w:eastAsia="Arial" w:hAnsi="Arial"/>
                <w:i/>
                <w:iCs/>
                <w:color w:val="374151"/>
                <w:sz w:val="18"/>
                <w:szCs w:val="18"/>
              </w:rPr>
              <w:t xml:space="preserve">Example: (₹35,000 + ₹10,000 + ₹2,000) ÷ (26 × 10 hrs) = ₹180/hr minimum. Driver must earn ₹3.00/min net.</w:t>
            </w:r>
          </w:p>
        </w:tc>
      </w:tr>
    </w:tbl>
    <w:p>
      <w:pPr>
        <w:spacing w:after="100" w:before="280"/>
      </w:pPr>
      <w:r>
        <w:rPr>
          <w:rFonts w:ascii="Arial" w:cs="Arial" w:eastAsia="Arial" w:hAnsi="Arial"/>
          <w:b/>
          <w:bCs/>
          <w:color w:val="1A4F7A"/>
          <w:sz w:val="28"/>
          <w:szCs w:val="28"/>
        </w:rPr>
        <w:t xml:space="preserve">2.7 Earnings Efficiency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1800"/>
        <w:gridCol w:w="1800"/>
      </w:tblGrid>
      <w:tr>
        <w:tc>
          <w:tcPr>
            <w:tcW w:type="dxa" w:w="2160"/>
            <w:tcBorders>
              <w:top w:val="single" w:color="D1D5DB" w:sz="1"/>
              <w:left w:val="single" w:color="D1D5DB" w:sz="1"/>
              <w:bottom w:val="single" w:color="D1D5DB" w:sz="1"/>
              <w:right w:val="single" w:color="D1D5DB" w:sz="1"/>
            </w:tcBorders>
            <w:shd w:fill="0D2137"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Metric</w:t>
            </w:r>
          </w:p>
        </w:tc>
        <w:tc>
          <w:tcPr>
            <w:tcW w:type="dxa" w:w="3600"/>
            <w:tcBorders>
              <w:top w:val="single" w:color="D1D5DB" w:sz="1"/>
              <w:left w:val="single" w:color="D1D5DB" w:sz="1"/>
              <w:bottom w:val="single" w:color="D1D5DB" w:sz="1"/>
              <w:right w:val="single" w:color="D1D5DB" w:sz="1"/>
            </w:tcBorders>
            <w:shd w:fill="0D2137"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Definition</w:t>
            </w:r>
          </w:p>
        </w:tc>
        <w:tc>
          <w:tcPr>
            <w:tcW w:type="dxa" w:w="1800"/>
            <w:tcBorders>
              <w:top w:val="single" w:color="D1D5DB" w:sz="1"/>
              <w:left w:val="single" w:color="D1D5DB" w:sz="1"/>
              <w:bottom w:val="single" w:color="D1D5DB" w:sz="1"/>
              <w:right w:val="single" w:color="D1D5DB" w:sz="1"/>
            </w:tcBorders>
            <w:shd w:fill="0D2137"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Benchmark 2W</w:t>
            </w:r>
          </w:p>
        </w:tc>
        <w:tc>
          <w:tcPr>
            <w:tcW w:type="dxa" w:w="1800"/>
            <w:tcBorders>
              <w:top w:val="single" w:color="D1D5DB" w:sz="1"/>
              <w:left w:val="single" w:color="D1D5DB" w:sz="1"/>
              <w:bottom w:val="single" w:color="D1D5DB" w:sz="1"/>
              <w:right w:val="single" w:color="D1D5DB" w:sz="1"/>
            </w:tcBorders>
            <w:shd w:fill="0D2137"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Benchmark 4W</w:t>
            </w:r>
          </w:p>
        </w:tc>
      </w:tr>
      <w:tr>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EPK — Earnings Per Km</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NetProfit ÷ TripDistKm</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₹3.00–₹6.00 healthy
&lt; ₹2.00 loss-making</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₹5.00–₹10.00 healthy
&lt; ₹3.50 concerning</w:t>
            </w:r>
          </w:p>
        </w:tc>
      </w:tr>
      <w:tr>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EPH — Earnings Per Hour</w:t>
            </w:r>
          </w:p>
        </w:tc>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NetProfit ÷ TotalRideCycleHrs</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 CPH (₹80–₹120/hr)</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 CPH (₹150–₹200/hr)</w:t>
            </w:r>
          </w:p>
        </w:tc>
      </w:tr>
      <w:tr>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TES — Time Efficiency Score</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(TripTimeMin ÷ TRT) × 100</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 60% healthy, &lt; 25% Hard Override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 60% healthy, &lt; 25% Hard Override</w:t>
            </w:r>
          </w:p>
        </w:tc>
      </w:tr>
      <w:tr>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HRR — Hourly Run Rate (display only)</w:t>
            </w:r>
          </w:p>
        </w:tc>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(NetProfit ÷ TRT) × 60</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Dashboard display — not part of RideScore</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Dashboard display — not part of RideScore</w:t>
            </w:r>
          </w:p>
        </w:tc>
      </w:tr>
    </w:tbl>
    <w:p>
      <w:pPr>
        <w:spacing w:after="0" w:before="1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top"/>
          </w:tcPr>
          <w:p>
            <w:pPr>
              <w:spacing w:after="20" w:before="20"/>
            </w:pPr>
            <w:r>
              <w:rPr>
                <w:rFonts w:ascii="Arial" w:cs="Arial" w:eastAsia="Arial" w:hAnsi="Arial"/>
                <w:b/>
                <w:bCs/>
                <w:sz w:val="20"/>
                <w:szCs w:val="20"/>
              </w:rPr>
              <w:t xml:space="preserve">✏️</w:t>
            </w:r>
          </w:p>
        </w:tc>
        <w:tc>
          <w:tcPr>
            <w:tcW w:type="dxa" w:w="90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top"/>
          </w:tcPr>
          <w:p>
            <w:pPr>
              <w:spacing w:after="20" w:before="20"/>
            </w:pPr>
            <w:r>
              <w:rPr>
                <w:rFonts w:ascii="Arial" w:cs="Arial" w:eastAsia="Arial" w:hAnsi="Arial"/>
                <w:color w:val="166534"/>
                <w:sz w:val="18"/>
                <w:szCs w:val="18"/>
              </w:rPr>
              <w:t xml:space="preserve">v2.0 Fix: HRR is explicitly documented as a display-only dashboard metric. It is computed and shown to the driver but has no weight in the RideScore formula — its time-efficiency dimension is already captured by TES (S3).</w:t>
            </w:r>
          </w:p>
        </w:tc>
      </w:tr>
    </w:tbl>
    <w:p>
      <w:r>
        <w:br w:type="page"/>
      </w:r>
    </w:p>
    <w:p>
      <w:pPr>
        <w:pBdr>
          <w:top w:val="none" w:color="FFFFFF" w:sz="0"/>
          <w:bottom w:val="single" w:color="1A4F7A" w:sz="8" w:space="1"/>
          <w:left w:val="none" w:color="FFFFFF" w:sz="0"/>
          <w:right w:val="none" w:color="FFFFFF" w:sz="0"/>
        </w:pBdr>
        <w:spacing w:after="120" w:before="400"/>
      </w:pPr>
      <w:r>
        <w:rPr>
          <w:rFonts w:ascii="Arial" w:cs="Arial" w:eastAsia="Arial" w:hAnsi="Arial"/>
          <w:b/>
          <w:bCs/>
          <w:color w:val="0D2137"/>
          <w:sz w:val="36"/>
          <w:szCs w:val="36"/>
        </w:rPr>
        <w:t xml:space="preserve">3. Complete Cost Per Km (CPK) Model</w:t>
      </w:r>
    </w:p>
    <w:p>
      <w:pPr>
        <w:spacing w:after="60" w:before="60"/>
      </w:pPr>
      <w:r>
        <w:rPr>
          <w:rFonts w:ascii="Arial" w:cs="Arial" w:eastAsia="Arial" w:hAnsi="Arial"/>
          <w:sz w:val="20"/>
          <w:szCs w:val="20"/>
        </w:rPr>
        <w:t xml:space="preserve">The Cost Per Km (CPK) is the foundational variable of the entire Profit Engine. It represents the absolute minimum revenue the driver must generate per kilometre to avoid liquidating vehicle equity.</w:t>
      </w:r>
    </w:p>
    <w:p>
      <w:pPr>
        <w:spacing w:after="0" w:before="1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4F7A" w:sz="1"/>
              <w:left w:val="single" w:color="1A4F7A" w:sz="1"/>
              <w:bottom w:val="single" w:color="1A4F7A" w:sz="1"/>
              <w:right w:val="single" w:color="1A4F7A" w:sz="1"/>
            </w:tcBorders>
            <w:shd w:fill="D0E4F5" w:val="clear"/>
            <w:tcMar>
              <w:top w:type="dxa" w:w="80"/>
              <w:left w:type="dxa" w:w="200"/>
              <w:bottom w:type="dxa" w:w="20"/>
              <w:right w:type="dxa" w:w="200"/>
            </w:tcMar>
          </w:tcPr>
          <w:p>
            <w:pPr>
              <w:spacing w:after="20" w:before="20"/>
            </w:pPr>
            <w:r>
              <w:rPr>
                <w:rFonts w:ascii="Arial" w:cs="Arial" w:eastAsia="Arial" w:hAnsi="Arial"/>
                <w:b/>
                <w:bCs/>
                <w:color w:val="1A4F7A"/>
                <w:sz w:val="18"/>
                <w:szCs w:val="18"/>
              </w:rPr>
              <w:t xml:space="preserve">Total Cost Per Km (CPK)</w:t>
            </w:r>
          </w:p>
        </w:tc>
      </w:tr>
      <w:tr>
        <w:tc>
          <w:tcPr>
            <w:tcW w:type="dxa" w:w="9360"/>
            <w:tcBorders>
              <w:top w:val="single" w:color="1A4F7A" w:sz="1"/>
              <w:left w:val="single" w:color="1A4F7A" w:sz="1"/>
              <w:bottom w:val="single" w:color="1A4F7A" w:sz="1"/>
              <w:right w:val="single" w:color="1A4F7A" w:sz="1"/>
            </w:tcBorders>
            <w:shd w:fill="FFFFFF" w:val="clear"/>
            <w:tcMar>
              <w:top w:type="dxa" w:w="100"/>
              <w:left w:type="dxa" w:w="200"/>
              <w:bottom w:type="dxa" w:w="100"/>
              <w:right w:type="dxa" w:w="200"/>
            </w:tcMar>
          </w:tcPr>
          <w:p>
            <w:pPr>
              <w:spacing w:after="20" w:before="20"/>
            </w:pPr>
            <w:r>
              <w:rPr>
                <w:rFonts w:ascii="Courier New" w:cs="Courier New" w:eastAsia="Courier New" w:hAnsi="Courier New"/>
                <w:b/>
                <w:bCs/>
                <w:color w:val="1E3A5F"/>
                <w:sz w:val="22"/>
                <w:szCs w:val="22"/>
              </w:rPr>
              <w:t xml:space="preserve">CPK = FuelCostPerKm + MaintenanceCostPerKm</w:t>
            </w:r>
          </w:p>
        </w:tc>
      </w:tr>
      <w:tr>
        <w:tc>
          <w:tcPr>
            <w:tcW w:type="dxa" w:w="9360"/>
            <w:tcBorders>
              <w:top w:val="single" w:color="1A4F7A" w:sz="1"/>
              <w:left w:val="single" w:color="1A4F7A" w:sz="1"/>
              <w:bottom w:val="single" w:color="1A4F7A" w:sz="1"/>
              <w:right w:val="single" w:color="1A4F7A" w:sz="1"/>
            </w:tcBorders>
            <w:shd w:fill="EFF6FF" w:val="clear"/>
            <w:tcMar>
              <w:top w:type="dxa" w:w="60"/>
              <w:left w:type="dxa" w:w="200"/>
              <w:bottom w:type="dxa" w:w="60"/>
              <w:right w:type="dxa" w:w="200"/>
            </w:tcMar>
          </w:tcPr>
          <w:p>
            <w:pPr>
              <w:spacing w:after="20" w:before="20"/>
            </w:pPr>
            <w:r>
              <w:rPr>
                <w:rFonts w:ascii="Arial" w:cs="Arial" w:eastAsia="Arial" w:hAnsi="Arial"/>
                <w:i/>
                <w:iCs/>
                <w:color w:val="374151"/>
                <w:sz w:val="18"/>
                <w:szCs w:val="18"/>
              </w:rPr>
              <w:t xml:space="preserve">Time-related costs (congestion delays, idle time) are handled separately via IdleTimeCost in NetProfit and via the CongestionFactor applied to pickup time estimation. CPK is a pure distance-based cost metric.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top"/>
          </w:tcPr>
          <w:p>
            <w:pPr>
              <w:spacing w:after="20" w:before="20"/>
            </w:pPr>
            <w:r>
              <w:rPr>
                <w:rFonts w:ascii="Arial" w:cs="Arial" w:eastAsia="Arial" w:hAnsi="Arial"/>
                <w:b/>
                <w:bCs/>
                <w:sz w:val="20"/>
                <w:szCs w:val="20"/>
              </w:rPr>
              <w:t xml:space="preserve">✏️</w:t>
            </w:r>
          </w:p>
        </w:tc>
        <w:tc>
          <w:tcPr>
            <w:tcW w:type="dxa" w:w="90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top"/>
          </w:tcPr>
          <w:p>
            <w:pPr>
              <w:spacing w:after="20" w:before="20"/>
            </w:pPr>
            <w:r>
              <w:rPr>
                <w:rFonts w:ascii="Arial" w:cs="Arial" w:eastAsia="Arial" w:hAnsi="Arial"/>
                <w:color w:val="166534"/>
                <w:sz w:val="18"/>
                <w:szCs w:val="18"/>
              </w:rPr>
              <w:t xml:space="preserve">v2.0 Fix: Removed the undefined 'TimeCostPerKm × CongestionFactor' term from CPK. Time costs are captured in: (1) IdleTimeCost subtracted from NetProfit, and (2) CongestionFactor applied to pickupTimeMin in TRT calculation. Mixing them into CPK created double-counting.</w:t>
            </w:r>
          </w:p>
        </w:tc>
      </w:tr>
    </w:tbl>
    <w:p>
      <w:pPr>
        <w:spacing w:after="0" w:before="20"/>
      </w:pPr>
      <w:r>
        <w:rPr>
          <w:rFonts w:ascii="Arial" w:cs="Arial" w:eastAsia="Arial" w:hAnsi="Arial"/>
          <w:sz w:val="20"/>
          <w:szCs w:val="20"/>
        </w:rPr>
        <w:t xml:space="preserve"/>
      </w:r>
    </w:p>
    <w:p>
      <w:pPr>
        <w:spacing w:after="60" w:before="60"/>
      </w:pPr>
      <w:r>
        <w:rPr>
          <w:rFonts w:ascii="Arial" w:cs="Arial" w:eastAsia="Arial" w:hAnsi="Arial"/>
          <w:sz w:val="20"/>
          <w:szCs w:val="20"/>
        </w:rPr>
        <w:t xml:space="preserve">The CongestionFactor is used to estimate pickup drive time, not to inflate CPK: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4F7A" w:sz="1"/>
              <w:left w:val="single" w:color="1A4F7A" w:sz="1"/>
              <w:bottom w:val="single" w:color="1A4F7A" w:sz="1"/>
              <w:right w:val="single" w:color="1A4F7A" w:sz="1"/>
            </w:tcBorders>
            <w:shd w:fill="D0E4F5" w:val="clear"/>
            <w:tcMar>
              <w:top w:type="dxa" w:w="80"/>
              <w:left w:type="dxa" w:w="200"/>
              <w:bottom w:type="dxa" w:w="20"/>
              <w:right w:type="dxa" w:w="200"/>
            </w:tcMar>
          </w:tcPr>
          <w:p>
            <w:pPr>
              <w:spacing w:after="20" w:before="20"/>
            </w:pPr>
            <w:r>
              <w:rPr>
                <w:rFonts w:ascii="Arial" w:cs="Arial" w:eastAsia="Arial" w:hAnsi="Arial"/>
                <w:b/>
                <w:bCs/>
                <w:color w:val="1A4F7A"/>
                <w:sz w:val="18"/>
                <w:szCs w:val="18"/>
              </w:rPr>
              <w:t xml:space="preserve">Pickup Time Estimation (with Congestion)</w:t>
            </w:r>
          </w:p>
        </w:tc>
      </w:tr>
      <w:tr>
        <w:tc>
          <w:tcPr>
            <w:tcW w:type="dxa" w:w="9360"/>
            <w:tcBorders>
              <w:top w:val="single" w:color="1A4F7A" w:sz="1"/>
              <w:left w:val="single" w:color="1A4F7A" w:sz="1"/>
              <w:bottom w:val="single" w:color="1A4F7A" w:sz="1"/>
              <w:right w:val="single" w:color="1A4F7A" w:sz="1"/>
            </w:tcBorders>
            <w:shd w:fill="FFFFFF" w:val="clear"/>
            <w:tcMar>
              <w:top w:type="dxa" w:w="100"/>
              <w:left w:type="dxa" w:w="200"/>
              <w:bottom w:type="dxa" w:w="100"/>
              <w:right w:type="dxa" w:w="200"/>
            </w:tcMar>
          </w:tcPr>
          <w:p>
            <w:pPr>
              <w:spacing w:after="20" w:before="20"/>
            </w:pPr>
            <w:r>
              <w:rPr>
                <w:rFonts w:ascii="Courier New" w:cs="Courier New" w:eastAsia="Courier New" w:hAnsi="Courier New"/>
                <w:b/>
                <w:bCs/>
                <w:color w:val="1E3A5F"/>
                <w:sz w:val="22"/>
                <w:szCs w:val="22"/>
              </w:rPr>
              <w:t xml:space="preserve">PickupTimeMin = (PickupDistKm ÷ CityAvgSpeedKmH) × 60 × CongestionFactor</w:t>
            </w:r>
          </w:p>
        </w:tc>
      </w:tr>
      <w:tr>
        <w:tc>
          <w:tcPr>
            <w:tcW w:type="dxa" w:w="9360"/>
            <w:tcBorders>
              <w:top w:val="single" w:color="1A4F7A" w:sz="1"/>
              <w:left w:val="single" w:color="1A4F7A" w:sz="1"/>
              <w:bottom w:val="single" w:color="1A4F7A" w:sz="1"/>
              <w:right w:val="single" w:color="1A4F7A" w:sz="1"/>
            </w:tcBorders>
            <w:shd w:fill="EFF6FF" w:val="clear"/>
            <w:tcMar>
              <w:top w:type="dxa" w:w="60"/>
              <w:left w:type="dxa" w:w="200"/>
              <w:bottom w:type="dxa" w:w="60"/>
              <w:right w:type="dxa" w:w="200"/>
            </w:tcMar>
          </w:tcPr>
          <w:p>
            <w:pPr>
              <w:spacing w:after="20" w:before="20"/>
            </w:pPr>
            <w:r>
              <w:rPr>
                <w:rFonts w:ascii="Arial" w:cs="Arial" w:eastAsia="Arial" w:hAnsi="Arial"/>
                <w:i/>
                <w:iCs/>
                <w:color w:val="374151"/>
                <w:sz w:val="18"/>
                <w:szCs w:val="18"/>
              </w:rPr>
              <w:t xml:space="preserve">CongestionFactor = CityAvgSpeed ÷ CurrentSegmentSpeed, capped at 2.5. Applied only to pickup leg.</w:t>
            </w:r>
          </w:p>
        </w:tc>
      </w:tr>
    </w:tbl>
    <w:p>
      <w:pPr>
        <w:spacing w:after="100" w:before="280"/>
      </w:pPr>
      <w:r>
        <w:rPr>
          <w:rFonts w:ascii="Arial" w:cs="Arial" w:eastAsia="Arial" w:hAnsi="Arial"/>
          <w:b/>
          <w:bCs/>
          <w:color w:val="1A4F7A"/>
          <w:sz w:val="28"/>
          <w:szCs w:val="28"/>
        </w:rPr>
        <w:t xml:space="preserve">3.1 City-Specific Speed &amp; Congestion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2160"/>
      </w:tblGrid>
      <w:tr>
        <w:tc>
          <w:tcPr>
            <w:tcW w:type="dxa" w:w="2160"/>
            <w:tcBorders>
              <w:top w:val="single" w:color="D1D5DB" w:sz="1"/>
              <w:left w:val="single" w:color="D1D5DB" w:sz="1"/>
              <w:bottom w:val="single" w:color="D1D5DB" w:sz="1"/>
              <w:right w:val="single" w:color="D1D5DB" w:sz="1"/>
            </w:tcBorders>
            <w:shd w:fill="0D2137"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City</w:t>
            </w:r>
          </w:p>
        </w:tc>
        <w:tc>
          <w:tcPr>
            <w:tcW w:type="dxa" w:w="2160"/>
            <w:tcBorders>
              <w:top w:val="single" w:color="D1D5DB" w:sz="1"/>
              <w:left w:val="single" w:color="D1D5DB" w:sz="1"/>
              <w:bottom w:val="single" w:color="D1D5DB" w:sz="1"/>
              <w:right w:val="single" w:color="D1D5DB" w:sz="1"/>
            </w:tcBorders>
            <w:shd w:fill="0D2137"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Average Speed</w:t>
            </w:r>
          </w:p>
        </w:tc>
        <w:tc>
          <w:tcPr>
            <w:tcW w:type="dxa" w:w="2880"/>
            <w:tcBorders>
              <w:top w:val="single" w:color="D1D5DB" w:sz="1"/>
              <w:left w:val="single" w:color="D1D5DB" w:sz="1"/>
              <w:bottom w:val="single" w:color="D1D5DB" w:sz="1"/>
              <w:right w:val="single" w:color="D1D5DB" w:sz="1"/>
            </w:tcBorders>
            <w:shd w:fill="0D2137"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Congestion Factor Range</w:t>
            </w:r>
          </w:p>
        </w:tc>
        <w:tc>
          <w:tcPr>
            <w:tcW w:type="dxa" w:w="2160"/>
            <w:tcBorders>
              <w:top w:val="single" w:color="D1D5DB" w:sz="1"/>
              <w:left w:val="single" w:color="D1D5DB" w:sz="1"/>
              <w:bottom w:val="single" w:color="D1D5DB" w:sz="1"/>
              <w:right w:val="single" w:color="D1D5DB" w:sz="1"/>
            </w:tcBorders>
            <w:shd w:fill="0D2137"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Peak Drop Speed</w:t>
            </w:r>
          </w:p>
        </w:tc>
      </w:tr>
      <w:tr>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Mumbai</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18–22 km/h avg</w:t>
            </w:r>
          </w:p>
        </w:tc>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1.2–2.4</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14 km/h (8–10 AM, 6–8 PM)</w:t>
            </w:r>
          </w:p>
        </w:tc>
      </w:tr>
      <w:tr>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Delhi NCR</w:t>
            </w:r>
          </w:p>
        </w:tc>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20–26 km/h avg</w:t>
            </w:r>
          </w:p>
        </w:tc>
        <w:tc>
          <w:tcPr>
            <w:tcW w:type="dxa" w:w="28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1.1–2.0</w:t>
            </w:r>
          </w:p>
        </w:tc>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18.9 km/h (4–6 PM)</w:t>
            </w:r>
          </w:p>
        </w:tc>
      </w:tr>
      <w:tr>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Bengaluru</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16–20 km/h avg</w:t>
            </w:r>
          </w:p>
        </w:tc>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1.3–2.5 (worst in India)</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13.9 km/h peak (TomTom 2025 #2 globally)</w:t>
            </w:r>
          </w:p>
        </w:tc>
      </w:tr>
      <w:tr>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Hyderabad</w:t>
            </w:r>
          </w:p>
        </w:tc>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22–28 km/h avg</w:t>
            </w:r>
          </w:p>
        </w:tc>
        <w:tc>
          <w:tcPr>
            <w:tcW w:type="dxa" w:w="28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1.1–1.9</w:t>
            </w:r>
          </w:p>
        </w:tc>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18 km/h peak</w:t>
            </w:r>
          </w:p>
        </w:tc>
      </w:tr>
      <w:tr>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Chennai</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20–24 km/h avg</w:t>
            </w:r>
          </w:p>
        </w:tc>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1.1–2.0</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17 km/h peak</w:t>
            </w:r>
          </w:p>
        </w:tc>
      </w:tr>
      <w:tr>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Tier-2 Cities</w:t>
            </w:r>
          </w:p>
        </w:tc>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28–40 km/h avg</w:t>
            </w:r>
          </w:p>
        </w:tc>
        <w:tc>
          <w:tcPr>
            <w:tcW w:type="dxa" w:w="28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1.0–1.5</w:t>
            </w:r>
          </w:p>
        </w:tc>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24 km/h peak</w:t>
            </w:r>
          </w:p>
        </w:tc>
      </w:tr>
    </w:tbl>
    <w:p>
      <w:pPr>
        <w:spacing w:after="100" w:before="280"/>
      </w:pPr>
      <w:r>
        <w:rPr>
          <w:rFonts w:ascii="Arial" w:cs="Arial" w:eastAsia="Arial" w:hAnsi="Arial"/>
          <w:b/>
          <w:bCs/>
          <w:color w:val="1A4F7A"/>
          <w:sz w:val="28"/>
          <w:szCs w:val="28"/>
        </w:rPr>
        <w:t xml:space="preserve">3.2 Minimum Profitable Fare Threshold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4F7A" w:sz="1"/>
              <w:left w:val="single" w:color="1A4F7A" w:sz="1"/>
              <w:bottom w:val="single" w:color="1A4F7A" w:sz="1"/>
              <w:right w:val="single" w:color="1A4F7A" w:sz="1"/>
            </w:tcBorders>
            <w:shd w:fill="D0E4F5" w:val="clear"/>
            <w:tcMar>
              <w:top w:type="dxa" w:w="80"/>
              <w:left w:type="dxa" w:w="200"/>
              <w:bottom w:type="dxa" w:w="20"/>
              <w:right w:type="dxa" w:w="200"/>
            </w:tcMar>
          </w:tcPr>
          <w:p>
            <w:pPr>
              <w:spacing w:after="20" w:before="20"/>
            </w:pPr>
            <w:r>
              <w:rPr>
                <w:rFonts w:ascii="Arial" w:cs="Arial" w:eastAsia="Arial" w:hAnsi="Arial"/>
                <w:b/>
                <w:bCs/>
                <w:color w:val="1A4F7A"/>
                <w:sz w:val="18"/>
                <w:szCs w:val="18"/>
              </w:rPr>
              <w:t xml:space="preserve">Minimum Profitable Fare (ProfitabilityFloor)</w:t>
            </w:r>
          </w:p>
        </w:tc>
      </w:tr>
      <w:tr>
        <w:tc>
          <w:tcPr>
            <w:tcW w:type="dxa" w:w="9360"/>
            <w:tcBorders>
              <w:top w:val="single" w:color="1A4F7A" w:sz="1"/>
              <w:left w:val="single" w:color="1A4F7A" w:sz="1"/>
              <w:bottom w:val="single" w:color="1A4F7A" w:sz="1"/>
              <w:right w:val="single" w:color="1A4F7A" w:sz="1"/>
            </w:tcBorders>
            <w:shd w:fill="FFFFFF" w:val="clear"/>
            <w:tcMar>
              <w:top w:type="dxa" w:w="100"/>
              <w:left w:type="dxa" w:w="200"/>
              <w:bottom w:type="dxa" w:w="100"/>
              <w:right w:type="dxa" w:w="200"/>
            </w:tcMar>
          </w:tcPr>
          <w:p>
            <w:pPr>
              <w:spacing w:after="20" w:before="20"/>
            </w:pPr>
            <w:r>
              <w:rPr>
                <w:rFonts w:ascii="Courier New" w:cs="Courier New" w:eastAsia="Courier New" w:hAnsi="Courier New"/>
                <w:b/>
                <w:bCs/>
                <w:color w:val="1E3A5F"/>
                <w:sz w:val="22"/>
                <w:szCs w:val="22"/>
              </w:rPr>
              <w:t xml:space="preserve">ProfitabilityFloor = CPK × TotalDistKm × 1.25</w:t>
            </w:r>
          </w:p>
        </w:tc>
      </w:tr>
      <w:tr>
        <w:tc>
          <w:tcPr>
            <w:tcW w:type="dxa" w:w="9360"/>
            <w:tcBorders>
              <w:top w:val="single" w:color="1A4F7A" w:sz="1"/>
              <w:left w:val="single" w:color="1A4F7A" w:sz="1"/>
              <w:bottom w:val="single" w:color="1A4F7A" w:sz="1"/>
              <w:right w:val="single" w:color="1A4F7A" w:sz="1"/>
            </w:tcBorders>
            <w:shd w:fill="EFF6FF" w:val="clear"/>
            <w:tcMar>
              <w:top w:type="dxa" w:w="60"/>
              <w:left w:type="dxa" w:w="200"/>
              <w:bottom w:type="dxa" w:w="60"/>
              <w:right w:type="dxa" w:w="200"/>
            </w:tcMar>
          </w:tcPr>
          <w:p>
            <w:pPr>
              <w:spacing w:after="20" w:before="20"/>
            </w:pPr>
            <w:r>
              <w:rPr>
                <w:rFonts w:ascii="Arial" w:cs="Arial" w:eastAsia="Arial" w:hAnsi="Arial"/>
                <w:i/>
                <w:iCs/>
                <w:color w:val="374151"/>
                <w:sz w:val="18"/>
                <w:szCs w:val="18"/>
              </w:rPr>
              <w:t xml:space="preserve">At 1.0× CPK, the driver exactly breaks even on running costs with zero profit. The 1.25 multiplier enforces a minimum 25% profit margin above running costs. Rides below this threshold trigger automatic RED.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top"/>
          </w:tcPr>
          <w:p>
            <w:pPr>
              <w:spacing w:after="20" w:before="20"/>
            </w:pPr>
            <w:r>
              <w:rPr>
                <w:rFonts w:ascii="Arial" w:cs="Arial" w:eastAsia="Arial" w:hAnsi="Arial"/>
                <w:b/>
                <w:bCs/>
                <w:sz w:val="20"/>
                <w:szCs w:val="20"/>
              </w:rPr>
              <w:t xml:space="preserve">✏️</w:t>
            </w:r>
          </w:p>
        </w:tc>
        <w:tc>
          <w:tcPr>
            <w:tcW w:type="dxa" w:w="90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top"/>
          </w:tcPr>
          <w:p>
            <w:pPr>
              <w:spacing w:after="20" w:before="20"/>
            </w:pPr>
            <w:r>
              <w:rPr>
                <w:rFonts w:ascii="Arial" w:cs="Arial" w:eastAsia="Arial" w:hAnsi="Arial"/>
                <w:color w:val="166534"/>
                <w:sz w:val="18"/>
                <w:szCs w:val="18"/>
              </w:rPr>
              <w:t xml:space="preserve">v2.0 Fix: Renamed from 'MinViableFare' to 'ProfitabilityFloor' for accuracy. Previous description said 'cannot cover basic operational costs' — incorrect. A fare at 1.0× CPK covers costs but earns zero profit. 1.25× is the minimum acceptable profit margin floor.</w:t>
            </w:r>
          </w:p>
        </w:tc>
      </w:tr>
    </w:tbl>
    <w:p>
      <w:r>
        <w:br w:type="page"/>
      </w:r>
    </w:p>
    <w:p>
      <w:pPr>
        <w:pBdr>
          <w:top w:val="none" w:color="FFFFFF" w:sz="0"/>
          <w:bottom w:val="single" w:color="1A4F7A" w:sz="8" w:space="1"/>
          <w:left w:val="none" w:color="FFFFFF" w:sz="0"/>
          <w:right w:val="none" w:color="FFFFFF" w:sz="0"/>
        </w:pBdr>
        <w:spacing w:after="120" w:before="400"/>
      </w:pPr>
      <w:r>
        <w:rPr>
          <w:rFonts w:ascii="Arial" w:cs="Arial" w:eastAsia="Arial" w:hAnsi="Arial"/>
          <w:b/>
          <w:bCs/>
          <w:color w:val="0D2137"/>
          <w:sz w:val="36"/>
          <w:szCs w:val="36"/>
        </w:rPr>
        <w:t xml:space="preserve">4. The RideScore Algorithm — 6-Component Weighted System</w:t>
      </w:r>
    </w:p>
    <w:p>
      <w:pPr>
        <w:spacing w:after="60" w:before="60"/>
      </w:pPr>
      <w:r>
        <w:rPr>
          <w:rFonts w:ascii="Arial" w:cs="Arial" w:eastAsia="Arial" w:hAnsi="Arial"/>
          <w:sz w:val="20"/>
          <w:szCs w:val="20"/>
        </w:rPr>
        <w:t xml:space="preserve">The RideScore is a normalised 0–100 composite score computed from six weighted sub-scores. Each captures one distinct economic dimension of ride quality. Weights are dynamically adjusted by time-of-day from a canonical weight matrix (§4.4).</w:t>
      </w:r>
    </w:p>
    <w:p>
      <w:pPr>
        <w:spacing w:after="100" w:before="280"/>
      </w:pPr>
      <w:r>
        <w:rPr>
          <w:rFonts w:ascii="Arial" w:cs="Arial" w:eastAsia="Arial" w:hAnsi="Arial"/>
          <w:b/>
          <w:bCs/>
          <w:color w:val="1A4F7A"/>
          <w:sz w:val="28"/>
          <w:szCs w:val="28"/>
        </w:rPr>
        <w:t xml:space="preserve">4.1 Sub-Score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160"/>
        <w:gridCol w:w="1440"/>
        <w:gridCol w:w="3000"/>
        <w:gridCol w:w="2280"/>
      </w:tblGrid>
      <w:tr>
        <w:tc>
          <w:tcPr>
            <w:tcW w:type="dxa" w:w="480"/>
            <w:tcBorders>
              <w:top w:val="single" w:color="D1D5DB" w:sz="1"/>
              <w:left w:val="single" w:color="D1D5DB" w:sz="1"/>
              <w:bottom w:val="single" w:color="D1D5DB" w:sz="1"/>
              <w:right w:val="single" w:color="D1D5DB" w:sz="1"/>
            </w:tcBorders>
            <w:shd w:fill="0D2137"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w:t>
            </w:r>
          </w:p>
        </w:tc>
        <w:tc>
          <w:tcPr>
            <w:tcW w:type="dxa" w:w="2160"/>
            <w:tcBorders>
              <w:top w:val="single" w:color="D1D5DB" w:sz="1"/>
              <w:left w:val="single" w:color="D1D5DB" w:sz="1"/>
              <w:bottom w:val="single" w:color="D1D5DB" w:sz="1"/>
              <w:right w:val="single" w:color="D1D5DB" w:sz="1"/>
            </w:tcBorders>
            <w:shd w:fill="0D2137"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Component</w:t>
            </w:r>
          </w:p>
        </w:tc>
        <w:tc>
          <w:tcPr>
            <w:tcW w:type="dxa" w:w="1440"/>
            <w:tcBorders>
              <w:top w:val="single" w:color="D1D5DB" w:sz="1"/>
              <w:left w:val="single" w:color="D1D5DB" w:sz="1"/>
              <w:bottom w:val="single" w:color="D1D5DB" w:sz="1"/>
              <w:right w:val="single" w:color="D1D5DB" w:sz="1"/>
            </w:tcBorders>
            <w:shd w:fill="0D2137"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Weight (Baseline)</w:t>
            </w:r>
          </w:p>
        </w:tc>
        <w:tc>
          <w:tcPr>
            <w:tcW w:type="dxa" w:w="3000"/>
            <w:tcBorders>
              <w:top w:val="single" w:color="D1D5DB" w:sz="1"/>
              <w:left w:val="single" w:color="D1D5DB" w:sz="1"/>
              <w:bottom w:val="single" w:color="D1D5DB" w:sz="1"/>
              <w:right w:val="single" w:color="D1D5DB" w:sz="1"/>
            </w:tcBorders>
            <w:shd w:fill="0D2137"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Formula</w:t>
            </w:r>
          </w:p>
        </w:tc>
        <w:tc>
          <w:tcPr>
            <w:tcW w:type="dxa" w:w="2280"/>
            <w:tcBorders>
              <w:top w:val="single" w:color="D1D5DB" w:sz="1"/>
              <w:left w:val="single" w:color="D1D5DB" w:sz="1"/>
              <w:bottom w:val="single" w:color="D1D5DB" w:sz="1"/>
              <w:right w:val="single" w:color="D1D5DB" w:sz="1"/>
            </w:tcBorders>
            <w:shd w:fill="0D2137"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Interpretation</w:t>
            </w:r>
          </w:p>
        </w:tc>
      </w:tr>
      <w:tr>
        <w:tc>
          <w:tcPr>
            <w:tcW w:type="dxa" w:w="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S1</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Net Profit Score</w:t>
            </w:r>
          </w:p>
        </w:tc>
        <w:tc>
          <w:tcPr>
            <w:tcW w:type="dxa" w:w="1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30%</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clamp((NetProfit ÷ TargetNetProfit) × 100, 0, 100)</w:t>
            </w:r>
          </w:p>
        </w:tc>
        <w:tc>
          <w:tcPr>
            <w:tcW w:type="dxa" w:w="22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TargetNetProfit = HourlyTarget × (TripTimeMin ÷ 60). Score of 100 = met earnings target for this trip duration.</w:t>
            </w:r>
          </w:p>
        </w:tc>
      </w:tr>
      <w:tr>
        <w:tc>
          <w:tcPr>
            <w:tcW w:type="dxa" w:w="4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S2</w:t>
            </w:r>
          </w:p>
        </w:tc>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Profit Per Km (EPK)</w:t>
            </w:r>
          </w:p>
        </w:tc>
        <w:tc>
          <w:tcPr>
            <w:tcW w:type="dxa" w:w="14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20%</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clamp((EPK ÷ (CPK × 2.0)) × 100, 0, 100)</w:t>
            </w:r>
          </w:p>
        </w:tc>
        <w:tc>
          <w:tcPr>
            <w:tcW w:type="dxa" w:w="22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TargetEPK = CPK × 2.0. Score of 50 = break-even (earning cost back). Score of 100 = earning 2× cost, a healthy margin.</w:t>
            </w:r>
          </w:p>
        </w:tc>
      </w:tr>
      <w:tr>
        <w:tc>
          <w:tcPr>
            <w:tcW w:type="dxa" w:w="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S3</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Time Efficiency (TES)</w:t>
            </w:r>
          </w:p>
        </w:tc>
        <w:tc>
          <w:tcPr>
            <w:tcW w:type="dxa" w:w="1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20%</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clamp((TripTimeMin ÷ TRT) × 100, 0, 100)</w:t>
            </w:r>
          </w:p>
        </w:tc>
        <w:tc>
          <w:tcPr>
            <w:tcW w:type="dxa" w:w="22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TRT = PickupTimeMin + TripTimeMin + WaitMin. Score of 100 = zero dead time. &lt; 25 = Hard Override.</w:t>
            </w:r>
          </w:p>
        </w:tc>
      </w:tr>
      <w:tr>
        <w:tc>
          <w:tcPr>
            <w:tcW w:type="dxa" w:w="4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S4</w:t>
            </w:r>
          </w:p>
        </w:tc>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Pickup Penalty Score</w:t>
            </w:r>
          </w:p>
        </w:tc>
        <w:tc>
          <w:tcPr>
            <w:tcW w:type="dxa" w:w="14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15%</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clamp((1 − PPR) × 100, 0, 100)</w:t>
            </w:r>
          </w:p>
        </w:tc>
        <w:tc>
          <w:tcPr>
            <w:tcW w:type="dxa" w:w="22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PPR = PickupKm ÷ TripKm. Score of 100 = zero deadhead. Score of 0 = pickup equals trip distance.</w:t>
            </w:r>
          </w:p>
        </w:tc>
      </w:tr>
      <w:tr>
        <w:tc>
          <w:tcPr>
            <w:tcW w:type="dxa" w:w="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S5</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Surge &amp; Bonus Score</w:t>
            </w:r>
          </w:p>
        </w:tc>
        <w:tc>
          <w:tcPr>
            <w:tcW w:type="dxa" w:w="1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10%</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clamp((Surge − 1.0) × 50 + (BonusAmount ÷ 5), 0, 100)</w:t>
            </w:r>
          </w:p>
        </w:tc>
        <w:tc>
          <w:tcPr>
            <w:tcW w:type="dxa" w:w="22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Every ₹5 bonus = 1 bonus point. No surge = 0 surge points. Max surge contribution at 3.0× = 100 points.</w:t>
            </w:r>
          </w:p>
        </w:tc>
      </w:tr>
      <w:tr>
        <w:tc>
          <w:tcPr>
            <w:tcW w:type="dxa" w:w="4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S6</w:t>
            </w:r>
          </w:p>
        </w:tc>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Opportunity Cost Score</w:t>
            </w:r>
          </w:p>
        </w:tc>
        <w:tc>
          <w:tcPr>
            <w:tcW w:type="dxa" w:w="14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5%</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clamp(100 − (ZoneHeatIndex × (1 − IdleUrgency)), 0, 100)</w:t>
            </w:r>
          </w:p>
        </w:tc>
        <w:tc>
          <w:tcPr>
            <w:tcW w:type="dxa" w:w="22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IdleUrgency = clamp(idleMinutes ÷ 5.0, 0, 1). High zone heat + low idle time = lower S6 = be selective.</w:t>
            </w:r>
          </w:p>
        </w:tc>
      </w:tr>
    </w:tbl>
    <w:p>
      <w:pPr>
        <w:spacing w:after="0" w:before="1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top"/>
          </w:tcPr>
          <w:p>
            <w:pPr>
              <w:spacing w:after="20" w:before="20"/>
            </w:pPr>
            <w:r>
              <w:rPr>
                <w:rFonts w:ascii="Arial" w:cs="Arial" w:eastAsia="Arial" w:hAnsi="Arial"/>
                <w:b/>
                <w:bCs/>
                <w:sz w:val="20"/>
                <w:szCs w:val="20"/>
              </w:rPr>
              <w:t xml:space="preserve">✏️</w:t>
            </w:r>
          </w:p>
        </w:tc>
        <w:tc>
          <w:tcPr>
            <w:tcW w:type="dxa" w:w="90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top"/>
          </w:tcPr>
          <w:p>
            <w:pPr>
              <w:spacing w:after="20" w:before="20"/>
            </w:pPr>
            <w:r>
              <w:rPr>
                <w:rFonts w:ascii="Arial" w:cs="Arial" w:eastAsia="Arial" w:hAnsi="Arial"/>
                <w:color w:val="166534"/>
                <w:sz w:val="18"/>
                <w:szCs w:val="18"/>
              </w:rPr>
              <w:t xml:space="preserve">v2.0 Fix: TargetEPK is now explicitly defined as CPK × 2.0. This means a score of 50 = driver earns exactly their running costs back (break-even), and 100 = 2× cost recovery (healthy profit margin). The ÷5 divisor in S5 converts ₹ bonus amounts to score points — documented clearly.</w:t>
            </w:r>
          </w:p>
        </w:tc>
      </w:tr>
    </w:tbl>
    <w:p>
      <w:pPr>
        <w:spacing w:after="100" w:before="280"/>
      </w:pPr>
      <w:r>
        <w:rPr>
          <w:rFonts w:ascii="Arial" w:cs="Arial" w:eastAsia="Arial" w:hAnsi="Arial"/>
          <w:b/>
          <w:bCs/>
          <w:color w:val="1A4F7A"/>
          <w:sz w:val="28"/>
          <w:szCs w:val="28"/>
        </w:rPr>
        <w:t xml:space="preserve">4.2 Composite RideScore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4F7A" w:sz="1"/>
              <w:left w:val="single" w:color="1A4F7A" w:sz="1"/>
              <w:bottom w:val="single" w:color="1A4F7A" w:sz="1"/>
              <w:right w:val="single" w:color="1A4F7A" w:sz="1"/>
            </w:tcBorders>
            <w:shd w:fill="D0E4F5" w:val="clear"/>
            <w:tcMar>
              <w:top w:type="dxa" w:w="80"/>
              <w:left w:type="dxa" w:w="200"/>
              <w:bottom w:type="dxa" w:w="20"/>
              <w:right w:type="dxa" w:w="200"/>
            </w:tcMar>
          </w:tcPr>
          <w:p>
            <w:pPr>
              <w:spacing w:after="20" w:before="20"/>
            </w:pPr>
            <w:r>
              <w:rPr>
                <w:rFonts w:ascii="Arial" w:cs="Arial" w:eastAsia="Arial" w:hAnsi="Arial"/>
                <w:b/>
                <w:bCs/>
                <w:color w:val="1A4F7A"/>
                <w:sz w:val="18"/>
                <w:szCs w:val="18"/>
              </w:rPr>
              <w:t xml:space="preserve">Weighted RideScore (Baseline Weights)</w:t>
            </w:r>
          </w:p>
        </w:tc>
      </w:tr>
      <w:tr>
        <w:tc>
          <w:tcPr>
            <w:tcW w:type="dxa" w:w="9360"/>
            <w:tcBorders>
              <w:top w:val="single" w:color="1A4F7A" w:sz="1"/>
              <w:left w:val="single" w:color="1A4F7A" w:sz="1"/>
              <w:bottom w:val="single" w:color="1A4F7A" w:sz="1"/>
              <w:right w:val="single" w:color="1A4F7A" w:sz="1"/>
            </w:tcBorders>
            <w:shd w:fill="FFFFFF" w:val="clear"/>
            <w:tcMar>
              <w:top w:type="dxa" w:w="100"/>
              <w:left w:type="dxa" w:w="200"/>
              <w:bottom w:type="dxa" w:w="100"/>
              <w:right w:type="dxa" w:w="200"/>
            </w:tcMar>
          </w:tcPr>
          <w:p>
            <w:pPr>
              <w:spacing w:after="20" w:before="20"/>
            </w:pPr>
            <w:r>
              <w:rPr>
                <w:rFonts w:ascii="Courier New" w:cs="Courier New" w:eastAsia="Courier New" w:hAnsi="Courier New"/>
                <w:b/>
                <w:bCs/>
                <w:color w:val="1E3A5F"/>
                <w:sz w:val="22"/>
                <w:szCs w:val="22"/>
              </w:rPr>
              <w:t xml:space="preserve">RideScore = (S1×0.30) + (S2×0.20) + (S3×0.20) + (S4×0.15) + (S5×0.10) + (S6×0.05)</w:t>
            </w:r>
          </w:p>
        </w:tc>
      </w:tr>
      <w:tr>
        <w:tc>
          <w:tcPr>
            <w:tcW w:type="dxa" w:w="9360"/>
            <w:tcBorders>
              <w:top w:val="single" w:color="1A4F7A" w:sz="1"/>
              <w:left w:val="single" w:color="1A4F7A" w:sz="1"/>
              <w:bottom w:val="single" w:color="1A4F7A" w:sz="1"/>
              <w:right w:val="single" w:color="1A4F7A" w:sz="1"/>
            </w:tcBorders>
            <w:shd w:fill="EFF6FF" w:val="clear"/>
            <w:tcMar>
              <w:top w:type="dxa" w:w="60"/>
              <w:left w:type="dxa" w:w="200"/>
              <w:bottom w:type="dxa" w:w="60"/>
              <w:right w:type="dxa" w:w="200"/>
            </w:tcMar>
          </w:tcPr>
          <w:p>
            <w:pPr>
              <w:spacing w:after="20" w:before="20"/>
            </w:pPr>
            <w:r>
              <w:rPr>
                <w:rFonts w:ascii="Arial" w:cs="Arial" w:eastAsia="Arial" w:hAnsi="Arial"/>
                <w:i/>
                <w:iCs/>
                <w:color w:val="374151"/>
                <w:sz w:val="18"/>
                <w:szCs w:val="18"/>
              </w:rPr>
              <w:t xml:space="preserve">Baseline weights apply outside defined peak/off-peak windows. Dynamic time-of-day weights are selected from the canonical matrix in §4.4.</w:t>
            </w:r>
          </w:p>
        </w:tc>
      </w:tr>
    </w:tbl>
    <w:p>
      <w:pPr>
        <w:spacing w:after="100" w:before="280"/>
      </w:pPr>
      <w:r>
        <w:rPr>
          <w:rFonts w:ascii="Arial" w:cs="Arial" w:eastAsia="Arial" w:hAnsi="Arial"/>
          <w:b/>
          <w:bCs/>
          <w:color w:val="1A4F7A"/>
          <w:sz w:val="28"/>
          <w:szCs w:val="28"/>
        </w:rPr>
        <w:t xml:space="preserve">4.3 Hard Override Rules — Instant RED Triggers</w:t>
      </w:r>
    </w:p>
    <w:p>
      <w:pPr>
        <w:spacing w:after="60" w:before="60"/>
      </w:pPr>
      <w:r>
        <w:rPr>
          <w:rFonts w:ascii="Arial" w:cs="Arial" w:eastAsia="Arial" w:hAnsi="Arial"/>
          <w:sz w:val="20"/>
          <w:szCs w:val="20"/>
        </w:rPr>
        <w:t xml:space="preserve">Certain conditions immediately force the RideScore to RED, bypassing composite calculation. These protect drivers from rides that appear acceptable on paper but are economically damaging.</w:t>
      </w:r>
    </w:p>
    <w:p>
      <w:pPr>
        <w:spacing w:after="0" w:before="1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4320"/>
        <w:gridCol w:w="1800"/>
      </w:tblGrid>
      <w:tr>
        <w:tc>
          <w:tcPr>
            <w:tcW w:type="dxa" w:w="3240"/>
            <w:tcBorders>
              <w:top w:val="single" w:color="D1D5DB" w:sz="1"/>
              <w:left w:val="single" w:color="D1D5DB" w:sz="1"/>
              <w:bottom w:val="single" w:color="D1D5DB" w:sz="1"/>
              <w:right w:val="single" w:color="D1D5DB" w:sz="1"/>
            </w:tcBorders>
            <w:shd w:fill="0D2137"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Condition</w:t>
            </w:r>
          </w:p>
        </w:tc>
        <w:tc>
          <w:tcPr>
            <w:tcW w:type="dxa" w:w="4320"/>
            <w:tcBorders>
              <w:top w:val="single" w:color="D1D5DB" w:sz="1"/>
              <w:left w:val="single" w:color="D1D5DB" w:sz="1"/>
              <w:bottom w:val="single" w:color="D1D5DB" w:sz="1"/>
              <w:right w:val="single" w:color="D1D5DB" w:sz="1"/>
            </w:tcBorders>
            <w:shd w:fill="0D2137"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Reason</w:t>
            </w:r>
          </w:p>
        </w:tc>
        <w:tc>
          <w:tcPr>
            <w:tcW w:type="dxa" w:w="1800"/>
            <w:tcBorders>
              <w:top w:val="single" w:color="D1D5DB" w:sz="1"/>
              <w:left w:val="single" w:color="D1D5DB" w:sz="1"/>
              <w:bottom w:val="single" w:color="D1D5DB" w:sz="1"/>
              <w:right w:val="single" w:color="D1D5DB" w:sz="1"/>
            </w:tcBorders>
            <w:shd w:fill="0D2137"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Vehicle Scope</w:t>
            </w:r>
          </w:p>
        </w:tc>
      </w:tr>
      <w:tr>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NetProfit &lt; 0</w:t>
            </w:r>
          </w:p>
        </w:tc>
        <w:tc>
          <w:tcPr>
            <w:tcW w:type="dxa" w:w="43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The ride costs the driver money after all deductions — never accept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All</w:t>
            </w:r>
          </w:p>
        </w:tc>
      </w:tr>
      <w:tr>
        <w:tc>
          <w:tcPr>
            <w:tcW w:type="dxa" w:w="32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GrossFare &lt; ProfitabilityFloor</w:t>
            </w:r>
          </w:p>
        </w:tc>
        <w:tc>
          <w:tcPr>
            <w:tcW w:type="dxa" w:w="43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Fare cannot deliver 25% profit above running costs</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All</w:t>
            </w:r>
          </w:p>
        </w:tc>
      </w:tr>
      <w:tr>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PPR &gt; 0.80</w:t>
            </w:r>
          </w:p>
        </w:tc>
        <w:tc>
          <w:tcPr>
            <w:tcW w:type="dxa" w:w="43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Pickup exceeds 80% of trip distance — extreme uncompensated deadhead</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All</w:t>
            </w:r>
          </w:p>
        </w:tc>
      </w:tr>
      <w:tr>
        <w:tc>
          <w:tcPr>
            <w:tcW w:type="dxa" w:w="32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TES &lt; 25%</w:t>
            </w:r>
          </w:p>
        </w:tc>
        <w:tc>
          <w:tcPr>
            <w:tcW w:type="dxa" w:w="43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Driver spends over 75% of ride-cycle time not earning — catastrophic</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All</w:t>
            </w:r>
          </w:p>
        </w:tc>
      </w:tr>
      <w:tr>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EPK &lt; ₹2.00/km (2W) or &lt; ₹3.50/km (4W)</w:t>
            </w:r>
          </w:p>
        </w:tc>
        <w:tc>
          <w:tcPr>
            <w:tcW w:type="dxa" w:w="43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Vehicle-class specific minimum EPK floor — deeply unprofitable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2W / 4W separate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top"/>
          </w:tcPr>
          <w:p>
            <w:pPr>
              <w:spacing w:after="20" w:before="20"/>
            </w:pPr>
            <w:r>
              <w:rPr>
                <w:rFonts w:ascii="Arial" w:cs="Arial" w:eastAsia="Arial" w:hAnsi="Arial"/>
                <w:b/>
                <w:bCs/>
                <w:sz w:val="20"/>
                <w:szCs w:val="20"/>
              </w:rPr>
              <w:t xml:space="preserve">✏️</w:t>
            </w:r>
          </w:p>
        </w:tc>
        <w:tc>
          <w:tcPr>
            <w:tcW w:type="dxa" w:w="90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top"/>
          </w:tcPr>
          <w:p>
            <w:pPr>
              <w:spacing w:after="20" w:before="20"/>
            </w:pPr>
            <w:r>
              <w:rPr>
                <w:rFonts w:ascii="Arial" w:cs="Arial" w:eastAsia="Arial" w:hAnsi="Arial"/>
                <w:color w:val="166534"/>
                <w:sz w:val="18"/>
                <w:szCs w:val="18"/>
              </w:rPr>
              <w:t xml:space="preserve">v2.0 Fix: EPK override threshold is now vehicle-class specific (₹2.00 for 2W, ₹3.50 for 4W) matching the benchmarks in §2.7. The previous universal ₹1.50 threshold was redundant — it would always be caught by NetProfit &lt; 0 first.</w:t>
            </w:r>
          </w:p>
        </w:tc>
      </w:tr>
    </w:tbl>
    <w:p>
      <w:pPr>
        <w:spacing w:after="100" w:before="280"/>
      </w:pPr>
      <w:r>
        <w:rPr>
          <w:rFonts w:ascii="Arial" w:cs="Arial" w:eastAsia="Arial" w:hAnsi="Arial"/>
          <w:b/>
          <w:bCs/>
          <w:color w:val="1A4F7A"/>
          <w:sz w:val="28"/>
          <w:szCs w:val="28"/>
        </w:rPr>
        <w:t xml:space="preserve">4.4 Canonical Dynamic Weight Matrix</w:t>
      </w:r>
    </w:p>
    <w:p>
      <w:pPr>
        <w:spacing w:after="60" w:before="60"/>
      </w:pPr>
      <w:r>
        <w:rPr>
          <w:rFonts w:ascii="Arial" w:cs="Arial" w:eastAsia="Arial" w:hAnsi="Arial"/>
          <w:sz w:val="20"/>
          <w:szCs w:val="20"/>
        </w:rPr>
        <w:t xml:space="preserve">This matrix is the single source of truth for weight assignments. All rows sum to exactly 1.00. The getTimeAdjustedWeights() function selects the row based on current hour.</w:t>
      </w:r>
    </w:p>
    <w:p>
      <w:pPr>
        <w:spacing w:after="0" w:before="10"/>
      </w:pPr>
      <w:r>
        <w:rPr>
          <w:rFonts w:ascii="Arial" w:cs="Arial" w:eastAsia="Arial" w:hAnsi="Arial"/>
          <w:sz w:val="20"/>
          <w:szCs w:val="20"/>
        </w:rPr>
        <w:t xml:space="preserve"/>
      </w:r>
    </w:p>
    <w:tbl>
      <w:tblPr>
        <w:tblW w:type="dxa" w:w="10560"/>
        <w:tblBorders>
          <w:top w:val="single" w:color="auto" w:sz="4"/>
          <w:left w:val="single" w:color="auto" w:sz="4"/>
          <w:bottom w:val="single" w:color="auto" w:sz="4"/>
          <w:right w:val="single" w:color="auto" w:sz="4"/>
          <w:insideH w:val="single" w:color="auto" w:sz="4"/>
          <w:insideV w:val="single" w:color="auto" w:sz="4"/>
        </w:tblBorders>
      </w:tblPr>
      <w:tblGrid>
        <w:gridCol w:w="2520"/>
        <w:gridCol w:w="1200"/>
        <w:gridCol w:w="1200"/>
        <w:gridCol w:w="1200"/>
        <w:gridCol w:w="1200"/>
        <w:gridCol w:w="1200"/>
        <w:gridCol w:w="1200"/>
        <w:gridCol w:w="840"/>
      </w:tblGrid>
      <w:tr>
        <w:tc>
          <w:tcPr>
            <w:tcW w:type="dxa" w:w="2520"/>
            <w:tcBorders>
              <w:top w:val="single" w:color="D1D5DB" w:sz="1"/>
              <w:left w:val="single" w:color="D1D5DB" w:sz="1"/>
              <w:bottom w:val="single" w:color="D1D5DB" w:sz="1"/>
              <w:right w:val="single" w:color="D1D5DB" w:sz="1"/>
            </w:tcBorders>
            <w:shd w:fill="0D2137"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Time Band</w:t>
            </w:r>
          </w:p>
        </w:tc>
        <w:tc>
          <w:tcPr>
            <w:tcW w:type="dxa" w:w="1200"/>
            <w:tcBorders>
              <w:top w:val="single" w:color="D1D5DB" w:sz="1"/>
              <w:left w:val="single" w:color="D1D5DB" w:sz="1"/>
              <w:bottom w:val="single" w:color="D1D5DB" w:sz="1"/>
              <w:right w:val="single" w:color="D1D5DB" w:sz="1"/>
            </w:tcBorders>
            <w:shd w:fill="0D2137"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S1 Profit</w:t>
            </w:r>
          </w:p>
        </w:tc>
        <w:tc>
          <w:tcPr>
            <w:tcW w:type="dxa" w:w="1200"/>
            <w:tcBorders>
              <w:top w:val="single" w:color="D1D5DB" w:sz="1"/>
              <w:left w:val="single" w:color="D1D5DB" w:sz="1"/>
              <w:bottom w:val="single" w:color="D1D5DB" w:sz="1"/>
              <w:right w:val="single" w:color="D1D5DB" w:sz="1"/>
            </w:tcBorders>
            <w:shd w:fill="0D2137"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S2 EPK</w:t>
            </w:r>
          </w:p>
        </w:tc>
        <w:tc>
          <w:tcPr>
            <w:tcW w:type="dxa" w:w="1200"/>
            <w:tcBorders>
              <w:top w:val="single" w:color="D1D5DB" w:sz="1"/>
              <w:left w:val="single" w:color="D1D5DB" w:sz="1"/>
              <w:bottom w:val="single" w:color="D1D5DB" w:sz="1"/>
              <w:right w:val="single" w:color="D1D5DB" w:sz="1"/>
            </w:tcBorders>
            <w:shd w:fill="0D2137"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S3 TES</w:t>
            </w:r>
          </w:p>
        </w:tc>
        <w:tc>
          <w:tcPr>
            <w:tcW w:type="dxa" w:w="1200"/>
            <w:tcBorders>
              <w:top w:val="single" w:color="D1D5DB" w:sz="1"/>
              <w:left w:val="single" w:color="D1D5DB" w:sz="1"/>
              <w:bottom w:val="single" w:color="D1D5DB" w:sz="1"/>
              <w:right w:val="single" w:color="D1D5DB" w:sz="1"/>
            </w:tcBorders>
            <w:shd w:fill="0D2137"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S4 Pickup</w:t>
            </w:r>
          </w:p>
        </w:tc>
        <w:tc>
          <w:tcPr>
            <w:tcW w:type="dxa" w:w="1200"/>
            <w:tcBorders>
              <w:top w:val="single" w:color="D1D5DB" w:sz="1"/>
              <w:left w:val="single" w:color="D1D5DB" w:sz="1"/>
              <w:bottom w:val="single" w:color="D1D5DB" w:sz="1"/>
              <w:right w:val="single" w:color="D1D5DB" w:sz="1"/>
            </w:tcBorders>
            <w:shd w:fill="0D2137"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S5 Surge</w:t>
            </w:r>
          </w:p>
        </w:tc>
        <w:tc>
          <w:tcPr>
            <w:tcW w:type="dxa" w:w="1200"/>
            <w:tcBorders>
              <w:top w:val="single" w:color="D1D5DB" w:sz="1"/>
              <w:left w:val="single" w:color="D1D5DB" w:sz="1"/>
              <w:bottom w:val="single" w:color="D1D5DB" w:sz="1"/>
              <w:right w:val="single" w:color="D1D5DB" w:sz="1"/>
            </w:tcBorders>
            <w:shd w:fill="0D2137"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S6 Opp. Cost</w:t>
            </w:r>
          </w:p>
        </w:tc>
        <w:tc>
          <w:tcPr>
            <w:tcW w:type="dxa" w:w="840"/>
            <w:tcBorders>
              <w:top w:val="single" w:color="D1D5DB" w:sz="1"/>
              <w:left w:val="single" w:color="D1D5DB" w:sz="1"/>
              <w:bottom w:val="single" w:color="D1D5DB" w:sz="1"/>
              <w:right w:val="single" w:color="D1D5DB" w:sz="1"/>
            </w:tcBorders>
            <w:shd w:fill="0D2137"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Sum</w:t>
            </w:r>
          </w:p>
        </w:tc>
      </w:tr>
      <w:tr>
        <w:tc>
          <w:tcPr>
            <w:tcW w:type="dxa" w:w="2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06:00–08:59 Morning Rush</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0.28</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0.18</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0.23</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0.15</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0.11</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0.05</w:t>
            </w:r>
          </w:p>
        </w:tc>
        <w:tc>
          <w:tcPr>
            <w:tcW w:type="dxa" w:w="8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1.00</w:t>
            </w:r>
          </w:p>
        </w:tc>
      </w:tr>
      <w:tr>
        <w:tc>
          <w:tcPr>
            <w:tcW w:type="dxa" w:w="25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09:00–11:59 Off-Peak</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0.32</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0.20</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0.18</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0.15</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0.10</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0.05</w:t>
            </w:r>
          </w:p>
        </w:tc>
        <w:tc>
          <w:tcPr>
            <w:tcW w:type="dxa" w:w="8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1.00</w:t>
            </w:r>
          </w:p>
        </w:tc>
      </w:tr>
      <w:tr>
        <w:tc>
          <w:tcPr>
            <w:tcW w:type="dxa" w:w="2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12:00–14:59 Midday Lull</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0.30</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0.20</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0.20</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0.15</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0.10</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0.05</w:t>
            </w:r>
          </w:p>
        </w:tc>
        <w:tc>
          <w:tcPr>
            <w:tcW w:type="dxa" w:w="8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1.00</w:t>
            </w:r>
          </w:p>
        </w:tc>
      </w:tr>
      <w:tr>
        <w:tc>
          <w:tcPr>
            <w:tcW w:type="dxa" w:w="25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15:00–18:59 Evening Rush</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0.28</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0.18</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0.23</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0.15</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0.12</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0.04</w:t>
            </w:r>
          </w:p>
        </w:tc>
        <w:tc>
          <w:tcPr>
            <w:tcW w:type="dxa" w:w="8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1.00</w:t>
            </w:r>
          </w:p>
        </w:tc>
      </w:tr>
      <w:tr>
        <w:tc>
          <w:tcPr>
            <w:tcW w:type="dxa" w:w="2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19:00–22:59 Night</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0.32</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0.20</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0.18</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0.15</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0.10</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0.05</w:t>
            </w:r>
          </w:p>
        </w:tc>
        <w:tc>
          <w:tcPr>
            <w:tcW w:type="dxa" w:w="8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1.00</w:t>
            </w:r>
          </w:p>
        </w:tc>
      </w:tr>
      <w:tr>
        <w:tc>
          <w:tcPr>
            <w:tcW w:type="dxa" w:w="25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23:00–05:59 Late Night</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0.25</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0.17</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0.15</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0.15</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0.18</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0.10</w:t>
            </w:r>
          </w:p>
        </w:tc>
        <w:tc>
          <w:tcPr>
            <w:tcW w:type="dxa" w:w="8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1.00</w:t>
            </w:r>
          </w:p>
        </w:tc>
      </w:tr>
    </w:tbl>
    <w:p>
      <w:pPr>
        <w:spacing w:after="0" w:before="1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D1D5DB" w:sz="1"/>
              <w:left w:val="single" w:color="D1D5DB" w:sz="1"/>
              <w:bottom w:val="single" w:color="D1D5DB" w:sz="1"/>
              <w:right w:val="single" w:color="D1D5DB" w:sz="1"/>
            </w:tcBorders>
            <w:shd w:fill="0D2137"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Time Band</w:t>
            </w:r>
          </w:p>
        </w:tc>
        <w:tc>
          <w:tcPr>
            <w:tcW w:type="dxa" w:w="6840"/>
            <w:tcBorders>
              <w:top w:val="single" w:color="D1D5DB" w:sz="1"/>
              <w:left w:val="single" w:color="D1D5DB" w:sz="1"/>
              <w:bottom w:val="single" w:color="D1D5DB" w:sz="1"/>
              <w:right w:val="single" w:color="D1D5DB" w:sz="1"/>
            </w:tcBorders>
            <w:shd w:fill="0D2137"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Strategy Rationale</w:t>
            </w:r>
          </w:p>
        </w:tc>
      </w:tr>
      <w:tr>
        <w:tc>
          <w:tcPr>
            <w:tcW w:type="dxa" w:w="2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Morning Rush (06–09)</w:t>
            </w:r>
          </w:p>
        </w:tc>
        <w:tc>
          <w:tcPr>
            <w:tcW w:type="dxa" w:w="68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Boost TES (0.23): congested slow rides punished heavily. Lower S6 concern — riders dense. RED threshold: 45.</w:t>
            </w:r>
          </w:p>
        </w:tc>
      </w:tr>
      <w:tr>
        <w:tc>
          <w:tcPr>
            <w:tcW w:type="dxa" w:w="25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Off-Peak (09–12)</w:t>
            </w:r>
          </w:p>
        </w:tc>
        <w:tc>
          <w:tcPr>
            <w:tcW w:type="dxa" w:w="68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Boost S1 (0.32): prioritise profit quality. Raise selectivity — better rides come during peak. RED threshold: 50.</w:t>
            </w:r>
          </w:p>
        </w:tc>
      </w:tr>
      <w:tr>
        <w:tc>
          <w:tcPr>
            <w:tcW w:type="dxa" w:w="2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Midday Lull (12–15)</w:t>
            </w:r>
          </w:p>
        </w:tc>
        <w:tc>
          <w:tcPr>
            <w:tcW w:type="dxa" w:w="68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Balanced weights — accept more rides to maintain platform algorithm momentum. RED threshold: 35.</w:t>
            </w:r>
          </w:p>
        </w:tc>
      </w:tr>
      <w:tr>
        <w:tc>
          <w:tcPr>
            <w:tcW w:type="dxa" w:w="25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Evening Rush (15–19)</w:t>
            </w:r>
          </w:p>
        </w:tc>
        <w:tc>
          <w:tcPr>
            <w:tcW w:type="dxa" w:w="68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Mirror Morning Rush weights. Boost S5 (0.12) — surge is common and should be rewarded.</w:t>
            </w:r>
          </w:p>
        </w:tc>
      </w:tr>
      <w:tr>
        <w:tc>
          <w:tcPr>
            <w:tcW w:type="dxa" w:w="2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Night (19–23)</w:t>
            </w:r>
          </w:p>
        </w:tc>
        <w:tc>
          <w:tcPr>
            <w:tcW w:type="dxa" w:w="68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Boost S1 (0.32): long high-value trips common. Reward profit quality.</w:t>
            </w:r>
          </w:p>
        </w:tc>
      </w:tr>
      <w:tr>
        <w:tc>
          <w:tcPr>
            <w:tcW w:type="dxa" w:w="25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Late Night (23–06)</w:t>
            </w:r>
          </w:p>
        </w:tc>
        <w:tc>
          <w:tcPr>
            <w:tcW w:type="dxa" w:w="68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Boost S5 (0.18): surge is the primary value signal late at night. Boost S6 (0.10): each ride counts significantly. Apply safety zone filter.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top"/>
          </w:tcPr>
          <w:p>
            <w:pPr>
              <w:spacing w:after="20" w:before="20"/>
            </w:pPr>
            <w:r>
              <w:rPr>
                <w:rFonts w:ascii="Arial" w:cs="Arial" w:eastAsia="Arial" w:hAnsi="Arial"/>
                <w:b/>
                <w:bCs/>
                <w:sz w:val="20"/>
                <w:szCs w:val="20"/>
              </w:rPr>
              <w:t xml:space="preserve">✏️</w:t>
            </w:r>
          </w:p>
        </w:tc>
        <w:tc>
          <w:tcPr>
            <w:tcW w:type="dxa" w:w="90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top"/>
          </w:tcPr>
          <w:p>
            <w:pPr>
              <w:spacing w:after="20" w:before="20"/>
            </w:pPr>
            <w:r>
              <w:rPr>
                <w:rFonts w:ascii="Arial" w:cs="Arial" w:eastAsia="Arial" w:hAnsi="Arial"/>
                <w:color w:val="166534"/>
                <w:sz w:val="18"/>
                <w:szCs w:val="18"/>
              </w:rPr>
              <w:t xml:space="preserve">v2.0 Fix: Complete weight matrix with all 6 weights × 6 time bands, each row verified to sum 1.00. Previous version had inconsistent weights across §4.2, §4.4, and the worked example. This matrix is the single canonical reference.</w:t>
            </w:r>
          </w:p>
        </w:tc>
      </w:tr>
    </w:tbl>
    <w:p>
      <w:r>
        <w:br w:type="page"/>
      </w:r>
    </w:p>
    <w:p>
      <w:pPr>
        <w:pBdr>
          <w:top w:val="none" w:color="FFFFFF" w:sz="0"/>
          <w:bottom w:val="single" w:color="1A4F7A" w:sz="8" w:space="1"/>
          <w:left w:val="none" w:color="FFFFFF" w:sz="0"/>
          <w:right w:val="none" w:color="FFFFFF" w:sz="0"/>
        </w:pBdr>
        <w:spacing w:after="120" w:before="400"/>
      </w:pPr>
      <w:r>
        <w:rPr>
          <w:rFonts w:ascii="Arial" w:cs="Arial" w:eastAsia="Arial" w:hAnsi="Arial"/>
          <w:b/>
          <w:bCs/>
          <w:color w:val="0D2137"/>
          <w:sz w:val="36"/>
          <w:szCs w:val="36"/>
        </w:rPr>
        <w:t xml:space="preserve">5. Worked Example — Full Score Calculation Trace</w:t>
      </w:r>
    </w:p>
    <w:p>
      <w:pPr>
        <w:spacing w:after="60" w:before="60"/>
      </w:pPr>
      <w:r>
        <w:rPr>
          <w:rFonts w:ascii="Arial" w:cs="Arial" w:eastAsia="Arial" w:hAnsi="Arial"/>
          <w:sz w:val="20"/>
          <w:szCs w:val="20"/>
        </w:rPr>
        <w:t xml:space="preserve">A complete real-world trace for a 4-Wheeler Petrol driver in Bengaluru at 6 PM (Evening Rush) on Uber legacy commission model. All v2.0 formula corrections applied.</w:t>
      </w:r>
    </w:p>
    <w:p>
      <w:pPr>
        <w:spacing w:after="100" w:before="280"/>
      </w:pPr>
      <w:r>
        <w:rPr>
          <w:rFonts w:ascii="Arial" w:cs="Arial" w:eastAsia="Arial" w:hAnsi="Arial"/>
          <w:b/>
          <w:bCs/>
          <w:color w:val="1A4F7A"/>
          <w:sz w:val="28"/>
          <w:szCs w:val="28"/>
        </w:rPr>
        <w:t xml:space="preserve">5.1 Input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0D2137"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Input Parameter</w:t>
            </w:r>
          </w:p>
        </w:tc>
        <w:tc>
          <w:tcPr>
            <w:tcW w:type="dxa" w:w="4680"/>
            <w:tcBorders>
              <w:top w:val="single" w:color="D1D5DB" w:sz="1"/>
              <w:left w:val="single" w:color="D1D5DB" w:sz="1"/>
              <w:bottom w:val="single" w:color="D1D5DB" w:sz="1"/>
              <w:right w:val="single" w:color="D1D5DB" w:sz="1"/>
            </w:tcBorders>
            <w:shd w:fill="0D2137"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Value</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Platform</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Uber Driver (Legacy Commission — 20%)</w:t>
            </w:r>
          </w:p>
        </w:tc>
      </w:tr>
      <w:tr>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Base Fare</w:t>
            </w:r>
          </w:p>
        </w:tc>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₹185</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Surge Multiplier</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1.3×</w:t>
            </w:r>
          </w:p>
        </w:tc>
      </w:tr>
      <w:tr>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Bonus Amount</w:t>
            </w:r>
          </w:p>
        </w:tc>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₹20 (streak bonus — commission-exempt)</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Pickup Distance</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1.8 km</w:t>
            </w:r>
          </w:p>
        </w:tc>
      </w:tr>
      <w:tr>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Trip Distance</w:t>
            </w:r>
          </w:p>
        </w:tc>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9.4 km</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Estimated Trip Time</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28 minutes</w:t>
            </w:r>
          </w:p>
        </w:tc>
      </w:tr>
      <w:tr>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Estimated Wait Time (before ride starts)</w:t>
            </w:r>
          </w:p>
        </w:tc>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3 minutes</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Fuel Price</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₹102.92/litre (Bengaluru Petrol)</w:t>
            </w:r>
          </w:p>
        </w:tc>
      </w:tr>
      <w:tr>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Vehicle Mileage</w:t>
            </w:r>
          </w:p>
        </w:tc>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15 km/litre</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Maintenance CPK</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₹2.40/km</w:t>
            </w:r>
          </w:p>
        </w:tc>
      </w:tr>
      <w:tr>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Hourly Target Earning</w:t>
            </w:r>
          </w:p>
        </w:tc>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₹160/hr</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City Avg Speed</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17 km/h (Bengaluru, Evening Rush)</w:t>
            </w:r>
          </w:p>
        </w:tc>
      </w:tr>
      <w:tr>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Congestion Factor</w:t>
            </w:r>
          </w:p>
        </w:tc>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1.6 (Evening Rush)</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Time of Day</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18:15 → Evening Rush band (15:00–18:59)</w:t>
            </w:r>
          </w:p>
        </w:tc>
      </w:tr>
    </w:tbl>
    <w:p>
      <w:pPr>
        <w:spacing w:after="100" w:before="280"/>
      </w:pPr>
      <w:r>
        <w:rPr>
          <w:rFonts w:ascii="Arial" w:cs="Arial" w:eastAsia="Arial" w:hAnsi="Arial"/>
          <w:b/>
          <w:bCs/>
          <w:color w:val="1A4F7A"/>
          <w:sz w:val="28"/>
          <w:szCs w:val="28"/>
        </w:rPr>
        <w:t xml:space="preserve">5.2 Step-by-Step 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4320"/>
        <w:gridCol w:w="2160"/>
      </w:tblGrid>
      <w:tr>
        <w:tc>
          <w:tcPr>
            <w:tcW w:type="dxa" w:w="2880"/>
            <w:tcBorders>
              <w:top w:val="single" w:color="D1D5DB" w:sz="1"/>
              <w:left w:val="single" w:color="D1D5DB" w:sz="1"/>
              <w:bottom w:val="single" w:color="D1D5DB" w:sz="1"/>
              <w:right w:val="single" w:color="D1D5DB" w:sz="1"/>
            </w:tcBorders>
            <w:shd w:fill="0D2137"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Step</w:t>
            </w:r>
          </w:p>
        </w:tc>
        <w:tc>
          <w:tcPr>
            <w:tcW w:type="dxa" w:w="4320"/>
            <w:tcBorders>
              <w:top w:val="single" w:color="D1D5DB" w:sz="1"/>
              <w:left w:val="single" w:color="D1D5DB" w:sz="1"/>
              <w:bottom w:val="single" w:color="D1D5DB" w:sz="1"/>
              <w:right w:val="single" w:color="D1D5DB" w:sz="1"/>
            </w:tcBorders>
            <w:shd w:fill="0D2137"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Calculation</w:t>
            </w:r>
          </w:p>
        </w:tc>
        <w:tc>
          <w:tcPr>
            <w:tcW w:type="dxa" w:w="2160"/>
            <w:tcBorders>
              <w:top w:val="single" w:color="D1D5DB" w:sz="1"/>
              <w:left w:val="single" w:color="D1D5DB" w:sz="1"/>
              <w:bottom w:val="single" w:color="D1D5DB" w:sz="1"/>
              <w:right w:val="single" w:color="D1D5DB" w:sz="1"/>
            </w:tcBorders>
            <w:shd w:fill="0D2137"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Result</w:t>
            </w:r>
          </w:p>
        </w:tc>
      </w:tr>
      <w:tr>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TotalDistKm</w:t>
            </w:r>
          </w:p>
        </w:tc>
        <w:tc>
          <w:tcPr>
            <w:tcW w:type="dxa" w:w="43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1.8 + 9.4</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11.2 km</w:t>
            </w:r>
          </w:p>
        </w:tc>
      </w:tr>
      <w:tr>
        <w:tc>
          <w:tcPr>
            <w:tcW w:type="dxa" w:w="28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FuelCostPerKm</w:t>
            </w:r>
          </w:p>
        </w:tc>
        <w:tc>
          <w:tcPr>
            <w:tcW w:type="dxa" w:w="43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₹102.92 ÷ 15</w:t>
            </w:r>
          </w:p>
        </w:tc>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₹6.861/km</w:t>
            </w:r>
          </w:p>
        </w:tc>
      </w:tr>
      <w:tr>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FuelCost</w:t>
            </w:r>
          </w:p>
        </w:tc>
        <w:tc>
          <w:tcPr>
            <w:tcW w:type="dxa" w:w="43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11.2 × ₹6.861</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₹76.84</w:t>
            </w:r>
          </w:p>
        </w:tc>
      </w:tr>
      <w:tr>
        <w:tc>
          <w:tcPr>
            <w:tcW w:type="dxa" w:w="28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MaintenanceCost</w:t>
            </w:r>
          </w:p>
        </w:tc>
        <w:tc>
          <w:tcPr>
            <w:tcW w:type="dxa" w:w="43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11.2 × ₹2.40</w:t>
            </w:r>
          </w:p>
        </w:tc>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₹26.88</w:t>
            </w:r>
          </w:p>
        </w:tc>
      </w:tr>
      <w:tr>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IdleTimeCost</w:t>
            </w:r>
          </w:p>
        </w:tc>
        <w:tc>
          <w:tcPr>
            <w:tcW w:type="dxa" w:w="43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(3 ÷ 60) × ₹160</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₹8.00</w:t>
            </w:r>
          </w:p>
        </w:tc>
      </w:tr>
      <w:tr>
        <w:tc>
          <w:tcPr>
            <w:tcW w:type="dxa" w:w="28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GrossFare (v2.0 — bonus exempt)</w:t>
            </w:r>
          </w:p>
        </w:tc>
        <w:tc>
          <w:tcPr>
            <w:tcW w:type="dxa" w:w="43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(₹185 × 1.3 × 0.80) + ₹20 = ₹192.40 + ₹20</w:t>
            </w:r>
          </w:p>
        </w:tc>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₹212.40</w:t>
            </w:r>
          </w:p>
        </w:tc>
      </w:tr>
      <w:tr>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NetProfit</w:t>
            </w:r>
          </w:p>
        </w:tc>
        <w:tc>
          <w:tcPr>
            <w:tcW w:type="dxa" w:w="43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₹212.40 − ₹76.84 − ₹26.88 − ₹8.00</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₹100.68</w:t>
            </w:r>
          </w:p>
        </w:tc>
      </w:tr>
      <w:tr>
        <w:tc>
          <w:tcPr>
            <w:tcW w:type="dxa" w:w="28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PPR</w:t>
            </w:r>
          </w:p>
        </w:tc>
        <w:tc>
          <w:tcPr>
            <w:tcW w:type="dxa" w:w="43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1.8 ÷ 9.4</w:t>
            </w:r>
          </w:p>
        </w:tc>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0.191 ✓ Excellent</w:t>
            </w:r>
          </w:p>
        </w:tc>
      </w:tr>
      <w:tr>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PickupTimeMin</w:t>
            </w:r>
          </w:p>
        </w:tc>
        <w:tc>
          <w:tcPr>
            <w:tcW w:type="dxa" w:w="43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(1.8 ÷ 17) × 60 × 1.6</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10.2 min</w:t>
            </w:r>
          </w:p>
        </w:tc>
      </w:tr>
      <w:tr>
        <w:tc>
          <w:tcPr>
            <w:tcW w:type="dxa" w:w="28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TRT (Total Ride Time)</w:t>
            </w:r>
          </w:p>
        </w:tc>
        <w:tc>
          <w:tcPr>
            <w:tcW w:type="dxa" w:w="43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10.2 + 28 + 3</w:t>
            </w:r>
          </w:p>
        </w:tc>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41.2 min</w:t>
            </w:r>
          </w:p>
        </w:tc>
      </w:tr>
      <w:tr>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TES</w:t>
            </w:r>
          </w:p>
        </w:tc>
        <w:tc>
          <w:tcPr>
            <w:tcW w:type="dxa" w:w="43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(28 ÷ 41.2) × 100</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67.9% ✓ Good</w:t>
            </w:r>
          </w:p>
        </w:tc>
      </w:tr>
      <w:tr>
        <w:tc>
          <w:tcPr>
            <w:tcW w:type="dxa" w:w="28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CPK</w:t>
            </w:r>
          </w:p>
        </w:tc>
        <w:tc>
          <w:tcPr>
            <w:tcW w:type="dxa" w:w="43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₹6.861 + ₹2.40</w:t>
            </w:r>
          </w:p>
        </w:tc>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₹9.261/km</w:t>
            </w:r>
          </w:p>
        </w:tc>
      </w:tr>
      <w:tr>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ProfitabilityFloor</w:t>
            </w:r>
          </w:p>
        </w:tc>
        <w:tc>
          <w:tcPr>
            <w:tcW w:type="dxa" w:w="43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₹9.261 × 11.2 × 1.25</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₹129.65</w:t>
            </w:r>
          </w:p>
        </w:tc>
      </w:tr>
      <w:tr>
        <w:tc>
          <w:tcPr>
            <w:tcW w:type="dxa" w:w="28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GrossFare vs ProfitabilityFloor</w:t>
            </w:r>
          </w:p>
        </w:tc>
        <w:tc>
          <w:tcPr>
            <w:tcW w:type="dxa" w:w="43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₹212.40 &gt; ₹129.65 ✓</w:t>
            </w:r>
          </w:p>
        </w:tc>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Passes</w:t>
            </w:r>
          </w:p>
        </w:tc>
      </w:tr>
      <w:tr>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EPK</w:t>
            </w:r>
          </w:p>
        </w:tc>
        <w:tc>
          <w:tcPr>
            <w:tcW w:type="dxa" w:w="43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₹100.68 ÷ 9.4</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₹10.71/km ✓ (&gt; ₹3.50 threshold)</w:t>
            </w:r>
          </w:p>
        </w:tc>
      </w:tr>
      <w:tr>
        <w:tc>
          <w:tcPr>
            <w:tcW w:type="dxa" w:w="28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TargetNetProfit</w:t>
            </w:r>
          </w:p>
        </w:tc>
        <w:tc>
          <w:tcPr>
            <w:tcW w:type="dxa" w:w="43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₹160 × (28 ÷ 60)</w:t>
            </w:r>
          </w:p>
        </w:tc>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₹74.67</w:t>
            </w:r>
          </w:p>
        </w:tc>
      </w:tr>
      <w:tr>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HRR (display only)</w:t>
            </w:r>
          </w:p>
        </w:tc>
        <w:tc>
          <w:tcPr>
            <w:tcW w:type="dxa" w:w="43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(₹100.68 ÷ 41.2) × 60</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₹146.55/hr (vs ₹160 target — 91.6%)</w:t>
            </w:r>
          </w:p>
        </w:tc>
      </w:tr>
    </w:tbl>
    <w:p>
      <w:pPr>
        <w:spacing w:after="100" w:before="280"/>
      </w:pPr>
      <w:r>
        <w:rPr>
          <w:rFonts w:ascii="Arial" w:cs="Arial" w:eastAsia="Arial" w:hAnsi="Arial"/>
          <w:b/>
          <w:bCs/>
          <w:color w:val="1A4F7A"/>
          <w:sz w:val="28"/>
          <w:szCs w:val="28"/>
        </w:rPr>
        <w:t xml:space="preserve">5.3 Sub-Score Computation (Evening Rush Weights)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1080"/>
        <w:gridCol w:w="1080"/>
        <w:gridCol w:w="1440"/>
      </w:tblGrid>
      <w:tr>
        <w:tc>
          <w:tcPr>
            <w:tcW w:type="dxa" w:w="2160"/>
            <w:tcBorders>
              <w:top w:val="single" w:color="D1D5DB" w:sz="1"/>
              <w:left w:val="single" w:color="D1D5DB" w:sz="1"/>
              <w:bottom w:val="single" w:color="D1D5DB" w:sz="1"/>
              <w:right w:val="single" w:color="D1D5DB" w:sz="1"/>
            </w:tcBorders>
            <w:shd w:fill="0D2137"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Score</w:t>
            </w:r>
          </w:p>
        </w:tc>
        <w:tc>
          <w:tcPr>
            <w:tcW w:type="dxa" w:w="3600"/>
            <w:tcBorders>
              <w:top w:val="single" w:color="D1D5DB" w:sz="1"/>
              <w:left w:val="single" w:color="D1D5DB" w:sz="1"/>
              <w:bottom w:val="single" w:color="D1D5DB" w:sz="1"/>
              <w:right w:val="single" w:color="D1D5DB" w:sz="1"/>
            </w:tcBorders>
            <w:shd w:fill="0D2137"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Formula &amp; Values</w:t>
            </w:r>
          </w:p>
        </w:tc>
        <w:tc>
          <w:tcPr>
            <w:tcW w:type="dxa" w:w="1080"/>
            <w:tcBorders>
              <w:top w:val="single" w:color="D1D5DB" w:sz="1"/>
              <w:left w:val="single" w:color="D1D5DB" w:sz="1"/>
              <w:bottom w:val="single" w:color="D1D5DB" w:sz="1"/>
              <w:right w:val="single" w:color="D1D5DB" w:sz="1"/>
            </w:tcBorders>
            <w:shd w:fill="0D2137"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Raw Score</w:t>
            </w:r>
          </w:p>
        </w:tc>
        <w:tc>
          <w:tcPr>
            <w:tcW w:type="dxa" w:w="1080"/>
            <w:tcBorders>
              <w:top w:val="single" w:color="D1D5DB" w:sz="1"/>
              <w:left w:val="single" w:color="D1D5DB" w:sz="1"/>
              <w:bottom w:val="single" w:color="D1D5DB" w:sz="1"/>
              <w:right w:val="single" w:color="D1D5DB" w:sz="1"/>
            </w:tcBorders>
            <w:shd w:fill="0D2137"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Weight</w:t>
            </w:r>
          </w:p>
        </w:tc>
        <w:tc>
          <w:tcPr>
            <w:tcW w:type="dxa" w:w="1440"/>
            <w:tcBorders>
              <w:top w:val="single" w:color="D1D5DB" w:sz="1"/>
              <w:left w:val="single" w:color="D1D5DB" w:sz="1"/>
              <w:bottom w:val="single" w:color="D1D5DB" w:sz="1"/>
              <w:right w:val="single" w:color="D1D5DB" w:sz="1"/>
            </w:tcBorders>
            <w:shd w:fill="0D2137"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Contribution</w:t>
            </w:r>
          </w:p>
        </w:tc>
      </w:tr>
      <w:tr>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S1 — Net Profit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(₹100.68 ÷ ₹74.67) × 100 = 134.8 → clamped</w:t>
            </w:r>
          </w:p>
        </w:tc>
        <w:tc>
          <w:tcPr>
            <w:tcW w:type="dxa" w:w="1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100.0</w:t>
            </w:r>
          </w:p>
        </w:tc>
        <w:tc>
          <w:tcPr>
            <w:tcW w:type="dxa" w:w="1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×0.28</w:t>
            </w:r>
          </w:p>
        </w:tc>
        <w:tc>
          <w:tcPr>
            <w:tcW w:type="dxa" w:w="1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28.0</w:t>
            </w:r>
          </w:p>
        </w:tc>
      </w:tr>
      <w:tr>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S2 — EPK</w:t>
            </w:r>
          </w:p>
        </w:tc>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TargetEPK = ₹9.261 × 2.0 = ₹18.52 | (₹10.71 ÷ ₹18.52) × 100</w:t>
            </w:r>
          </w:p>
        </w:tc>
        <w:tc>
          <w:tcPr>
            <w:tcW w:type="dxa" w:w="10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57.8</w:t>
            </w:r>
          </w:p>
        </w:tc>
        <w:tc>
          <w:tcPr>
            <w:tcW w:type="dxa" w:w="10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×0.18</w:t>
            </w:r>
          </w:p>
        </w:tc>
        <w:tc>
          <w:tcPr>
            <w:tcW w:type="dxa" w:w="14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10.4</w:t>
            </w:r>
          </w:p>
        </w:tc>
      </w:tr>
      <w:tr>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S3 — TES</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67.9 (direct from TES)</w:t>
            </w:r>
          </w:p>
        </w:tc>
        <w:tc>
          <w:tcPr>
            <w:tcW w:type="dxa" w:w="1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67.9</w:t>
            </w:r>
          </w:p>
        </w:tc>
        <w:tc>
          <w:tcPr>
            <w:tcW w:type="dxa" w:w="1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×0.23</w:t>
            </w:r>
          </w:p>
        </w:tc>
        <w:tc>
          <w:tcPr>
            <w:tcW w:type="dxa" w:w="1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15.6</w:t>
            </w:r>
          </w:p>
        </w:tc>
      </w:tr>
      <w:tr>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S4 — Pickup</w:t>
            </w:r>
          </w:p>
        </w:tc>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(1 − 0.191) × 100 = 80.9</w:t>
            </w:r>
          </w:p>
        </w:tc>
        <w:tc>
          <w:tcPr>
            <w:tcW w:type="dxa" w:w="10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80.9</w:t>
            </w:r>
          </w:p>
        </w:tc>
        <w:tc>
          <w:tcPr>
            <w:tcW w:type="dxa" w:w="10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×0.15</w:t>
            </w:r>
          </w:p>
        </w:tc>
        <w:tc>
          <w:tcPr>
            <w:tcW w:type="dxa" w:w="14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12.1</w:t>
            </w:r>
          </w:p>
        </w:tc>
      </w:tr>
      <w:tr>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S5 — Surge/Bonus</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(1.3−1.0)×50 + (₹20÷5) = 15 + 4</w:t>
            </w:r>
          </w:p>
        </w:tc>
        <w:tc>
          <w:tcPr>
            <w:tcW w:type="dxa" w:w="1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19.0</w:t>
            </w:r>
          </w:p>
        </w:tc>
        <w:tc>
          <w:tcPr>
            <w:tcW w:type="dxa" w:w="1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×0.12</w:t>
            </w:r>
          </w:p>
        </w:tc>
        <w:tc>
          <w:tcPr>
            <w:tcW w:type="dxa" w:w="1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2.3</w:t>
            </w:r>
          </w:p>
        </w:tc>
      </w:tr>
      <w:tr>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S6 — Opp. Cost</w:t>
            </w:r>
          </w:p>
        </w:tc>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Evening peak, idle = 0 min → IdleUrgency = 0 → ZoneHeat 70 → S6 = 100−(70×1.0)</w:t>
            </w:r>
          </w:p>
        </w:tc>
        <w:tc>
          <w:tcPr>
            <w:tcW w:type="dxa" w:w="10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30.0</w:t>
            </w:r>
          </w:p>
        </w:tc>
        <w:tc>
          <w:tcPr>
            <w:tcW w:type="dxa" w:w="10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×0.04</w:t>
            </w:r>
          </w:p>
        </w:tc>
        <w:tc>
          <w:tcPr>
            <w:tcW w:type="dxa" w:w="14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1.2</w:t>
            </w:r>
          </w:p>
        </w:tc>
      </w:tr>
      <w:tr>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RideScore</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Sum of weighted contributions</w:t>
            </w:r>
          </w:p>
        </w:tc>
        <w:tc>
          <w:tcPr>
            <w:tcW w:type="dxa" w:w="1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w:t>
            </w:r>
          </w:p>
        </w:tc>
        <w:tc>
          <w:tcPr>
            <w:tcW w:type="dxa" w:w="1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w:t>
            </w:r>
          </w:p>
        </w:tc>
        <w:tc>
          <w:tcPr>
            <w:tcW w:type="dxa" w:w="1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69.6</w:t>
            </w:r>
          </w:p>
        </w:tc>
      </w:tr>
    </w:tbl>
    <w:p>
      <w:pPr>
        <w:spacing w:after="0" w:before="2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490" w:sz="1"/>
              <w:left w:val="single" w:color="0E7490" w:sz="1"/>
              <w:bottom w:val="single" w:color="0E7490" w:sz="1"/>
              <w:right w:val="single" w:color="0E7490" w:sz="1"/>
            </w:tcBorders>
            <w:shd w:fill="FEF3C7" w:val="clear"/>
            <w:tcMar>
              <w:top w:type="dxa" w:w="120"/>
              <w:left w:type="dxa" w:w="200"/>
              <w:bottom w:type="dxa" w:w="120"/>
              <w:right w:type="dxa" w:w="200"/>
            </w:tcMar>
          </w:tcPr>
          <w:p>
            <w:pPr>
              <w:spacing w:after="10" w:before="20"/>
            </w:pPr>
            <w:r>
              <w:rPr>
                <w:rFonts w:ascii="Arial" w:cs="Arial" w:eastAsia="Arial" w:hAnsi="Arial"/>
                <w:b/>
                <w:bCs/>
                <w:color w:val="92400E"/>
                <w:sz w:val="30"/>
                <w:szCs w:val="30"/>
              </w:rPr>
              <w:t xml:space="preserve">🟡 YELLOW — RideScore 69.6</w:t>
            </w:r>
          </w:p>
          <w:p>
            <w:pPr>
              <w:spacing w:after="20" w:before="0"/>
            </w:pPr>
            <w:r>
              <w:rPr>
                <w:rFonts w:ascii="Arial" w:cs="Arial" w:eastAsia="Arial" w:hAnsi="Arial"/>
                <w:color w:val="1F2937"/>
                <w:sz w:val="20"/>
                <w:szCs w:val="20"/>
              </w:rPr>
              <w:t xml:space="preserve">Profitable but not exceptional. Accept if no better offer within 3 minutes. NetProfit ₹100.68 is strong (35% above target), but S2 EPK is held down by high Bengaluru fuel costs. Note: on Uber Driver Pass (₹113/day), commission = ₹0, lifting GrossFare to ₹260.50, NetProfit to ~₹148.78, EPK to ₹15.83/km, and RideScore to approximately 84 — solid GREEN.</w:t>
            </w:r>
          </w:p>
        </w:tc>
      </w:tr>
    </w:tbl>
    <w:p>
      <w:r>
        <w:br w:type="page"/>
      </w:r>
    </w:p>
    <w:p>
      <w:pPr>
        <w:pBdr>
          <w:top w:val="none" w:color="FFFFFF" w:sz="0"/>
          <w:bottom w:val="single" w:color="1A4F7A" w:sz="8" w:space="1"/>
          <w:left w:val="none" w:color="FFFFFF" w:sz="0"/>
          <w:right w:val="none" w:color="FFFFFF" w:sz="0"/>
        </w:pBdr>
        <w:spacing w:after="120" w:before="400"/>
      </w:pPr>
      <w:r>
        <w:rPr>
          <w:rFonts w:ascii="Arial" w:cs="Arial" w:eastAsia="Arial" w:hAnsi="Arial"/>
          <w:b/>
          <w:bCs/>
          <w:color w:val="0D2137"/>
          <w:sz w:val="36"/>
          <w:szCs w:val="36"/>
        </w:rPr>
        <w:t xml:space="preserve">6. Android Implementation Architecture</w:t>
      </w:r>
    </w:p>
    <w:p>
      <w:pPr>
        <w:spacing w:after="60" w:before="60"/>
      </w:pPr>
      <w:r>
        <w:rPr>
          <w:rFonts w:ascii="Arial" w:cs="Arial" w:eastAsia="Arial" w:hAnsi="Arial"/>
          <w:sz w:val="20"/>
          <w:szCs w:val="20"/>
        </w:rPr>
        <w:t xml:space="preserve">The entire pipeline — from popup detection to overlay render — must complete within 300 milliseconds for the scoring engine (800ms end-to-end including OCR) on any Android device manufactured after 2018.</w:t>
      </w:r>
    </w:p>
    <w:p>
      <w:pPr>
        <w:spacing w:after="100" w:before="280"/>
      </w:pPr>
      <w:r>
        <w:rPr>
          <w:rFonts w:ascii="Arial" w:cs="Arial" w:eastAsia="Arial" w:hAnsi="Arial"/>
          <w:b/>
          <w:bCs/>
          <w:color w:val="1A4F7A"/>
          <w:sz w:val="28"/>
          <w:szCs w:val="28"/>
        </w:rPr>
        <w:t xml:space="preserve">6.1 Module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3000"/>
        <w:gridCol w:w="1800"/>
        <w:gridCol w:w="1680"/>
      </w:tblGrid>
      <w:tr>
        <w:tc>
          <w:tcPr>
            <w:tcW w:type="dxa" w:w="2880"/>
            <w:tcBorders>
              <w:top w:val="single" w:color="D1D5DB" w:sz="1"/>
              <w:left w:val="single" w:color="D1D5DB" w:sz="1"/>
              <w:bottom w:val="single" w:color="D1D5DB" w:sz="1"/>
              <w:right w:val="single" w:color="D1D5DB" w:sz="1"/>
            </w:tcBorders>
            <w:shd w:fill="0D2137"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Module</w:t>
            </w:r>
          </w:p>
        </w:tc>
        <w:tc>
          <w:tcPr>
            <w:tcW w:type="dxa" w:w="3000"/>
            <w:tcBorders>
              <w:top w:val="single" w:color="D1D5DB" w:sz="1"/>
              <w:left w:val="single" w:color="D1D5DB" w:sz="1"/>
              <w:bottom w:val="single" w:color="D1D5DB" w:sz="1"/>
              <w:right w:val="single" w:color="D1D5DB" w:sz="1"/>
            </w:tcBorders>
            <w:shd w:fill="0D2137"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Responsibility</w:t>
            </w:r>
          </w:p>
        </w:tc>
        <w:tc>
          <w:tcPr>
            <w:tcW w:type="dxa" w:w="1800"/>
            <w:tcBorders>
              <w:top w:val="single" w:color="D1D5DB" w:sz="1"/>
              <w:left w:val="single" w:color="D1D5DB" w:sz="1"/>
              <w:bottom w:val="single" w:color="D1D5DB" w:sz="1"/>
              <w:right w:val="single" w:color="D1D5DB" w:sz="1"/>
            </w:tcBorders>
            <w:shd w:fill="0D2137"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Thread</w:t>
            </w:r>
          </w:p>
        </w:tc>
        <w:tc>
          <w:tcPr>
            <w:tcW w:type="dxa" w:w="1680"/>
            <w:tcBorders>
              <w:top w:val="single" w:color="D1D5DB" w:sz="1"/>
              <w:left w:val="single" w:color="D1D5DB" w:sz="1"/>
              <w:bottom w:val="single" w:color="D1D5DB" w:sz="1"/>
              <w:right w:val="single" w:color="D1D5DB" w:sz="1"/>
            </w:tcBorders>
            <w:shd w:fill="0D2137"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Latency Budget</w:t>
            </w:r>
          </w:p>
        </w:tc>
      </w:tr>
      <w:tr>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AccessibilityService / OCR Layer</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Receives UI events; triggers pipeline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Main (dispatch only)</w:t>
            </w:r>
          </w:p>
        </w:tc>
        <w:tc>
          <w:tcPr>
            <w:tcW w:type="dxa" w:w="1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&lt; 5ms</w:t>
            </w:r>
          </w:p>
        </w:tc>
      </w:tr>
      <w:tr>
        <w:tc>
          <w:tcPr>
            <w:tcW w:type="dxa" w:w="28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Data Extraction Module</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Platform-specific parsers; node traversal</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HandlerThread: Extractor</w:t>
            </w:r>
          </w:p>
        </w:tc>
        <w:tc>
          <w:tcPr>
            <w:tcW w:type="dxa" w:w="1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&lt; 250ms</w:t>
            </w:r>
          </w:p>
        </w:tc>
      </w:tr>
      <w:tr>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Driver Profile Cache</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SharedPreferences / Room DB read</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Pre-loaded at startup</w:t>
            </w:r>
          </w:p>
        </w:tc>
        <w:tc>
          <w:tcPr>
            <w:tcW w:type="dxa" w:w="1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0ms (cached)</w:t>
            </w:r>
          </w:p>
        </w:tc>
      </w:tr>
      <w:tr>
        <w:tc>
          <w:tcPr>
            <w:tcW w:type="dxa" w:w="28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Profit Decision Engine</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CPK, TES, PPR, RideScore, Override rules</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HandlerThread: Scorer</w:t>
            </w:r>
          </w:p>
        </w:tc>
        <w:tc>
          <w:tcPr>
            <w:tcW w:type="dxa" w:w="1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&lt; 5ms</w:t>
            </w:r>
          </w:p>
        </w:tc>
      </w:tr>
      <w:tr>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SessionTracker</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Subscription amortisation; daily hours tracking</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HandlerThread: Session</w:t>
            </w:r>
          </w:p>
        </w:tc>
        <w:tc>
          <w:tcPr>
            <w:tcW w:type="dxa" w:w="1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&lt; 1ms</w:t>
            </w:r>
          </w:p>
        </w:tc>
      </w:tr>
      <w:tr>
        <w:tc>
          <w:tcPr>
            <w:tcW w:type="dxa" w:w="28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Notification Overlay</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Renders GREEN/YELLOW/RED + breakdown</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Dispatchers.Main</w:t>
            </w:r>
          </w:p>
        </w:tc>
        <w:tc>
          <w:tcPr>
            <w:tcW w:type="dxa" w:w="1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&lt; 40ms</w:t>
            </w:r>
          </w:p>
        </w:tc>
      </w:tr>
      <w:tr>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Analytics Logger</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Persists ride history to Room DB</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Fire-and-forget coroutine</w:t>
            </w:r>
          </w:p>
        </w:tc>
        <w:tc>
          <w:tcPr>
            <w:tcW w:type="dxa" w:w="1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Async</w:t>
            </w:r>
          </w:p>
        </w:tc>
      </w:tr>
    </w:tbl>
    <w:p>
      <w:pPr>
        <w:spacing w:after="100" w:before="280"/>
      </w:pPr>
      <w:r>
        <w:rPr>
          <w:rFonts w:ascii="Arial" w:cs="Arial" w:eastAsia="Arial" w:hAnsi="Arial"/>
          <w:b/>
          <w:bCs/>
          <w:color w:val="1A4F7A"/>
          <w:sz w:val="28"/>
          <w:szCs w:val="28"/>
        </w:rPr>
        <w:t xml:space="preserve">6.2 Sub-1-Second Computation Strategies</w:t>
      </w:r>
    </w:p>
    <w:p>
      <w:pPr>
        <w:pStyle w:val="ListParagraph"/>
        <w:numPr>
          <w:ilvl w:val="0"/>
          <w:numId w:val="2"/>
        </w:numPr>
        <w:spacing w:after="40" w:before="40"/>
      </w:pPr>
      <w:r>
        <w:rPr>
          <w:rFonts w:ascii="Arial" w:cs="Arial" w:eastAsia="Arial" w:hAnsi="Arial"/>
          <w:b/>
          <w:bCs/>
          <w:sz w:val="20"/>
          <w:szCs w:val="20"/>
        </w:rPr>
        <w:t xml:space="preserve">Strategy 1 — Pre-computed Constants: CPK, city speed table, benchmark targets, weight arrays computed once at app launch. Zero runtime recomputation.</w:t>
      </w:r>
    </w:p>
    <w:p>
      <w:pPr>
        <w:pStyle w:val="ListParagraph"/>
        <w:numPr>
          <w:ilvl w:val="0"/>
          <w:numId w:val="2"/>
        </w:numPr>
        <w:spacing w:after="40" w:before="40"/>
      </w:pPr>
      <w:r>
        <w:rPr>
          <w:rFonts w:ascii="Arial" w:cs="Arial" w:eastAsia="Arial" w:hAnsi="Arial"/>
          <w:b w:val="false"/>
          <w:bCs w:val="false"/>
          <w:sz w:val="20"/>
          <w:szCs w:val="20"/>
        </w:rPr>
        <w:t xml:space="preserve">Strategy 2 — Pure Arithmetic Only: Entire scoring pipeline uses only floating-point arithmetic. No database queries, network calls, or locks. Completes in &lt; 2ms.</w:t>
      </w:r>
    </w:p>
    <w:p>
      <w:pPr>
        <w:pStyle w:val="ListParagraph"/>
        <w:numPr>
          <w:ilvl w:val="0"/>
          <w:numId w:val="2"/>
        </w:numPr>
        <w:spacing w:after="40" w:before="40"/>
      </w:pPr>
      <w:r>
        <w:rPr>
          <w:rFonts w:ascii="Arial" w:cs="Arial" w:eastAsia="Arial" w:hAnsi="Arial"/>
          <w:b w:val="false"/>
          <w:bCs w:val="false"/>
          <w:sz w:val="20"/>
          <w:szCs w:val="20"/>
        </w:rPr>
        <w:t xml:space="preserve">Strategy 3 — Kotlin Coroutines: Non-blocking ride evaluation via Dispatchers.Default. Overlay rendered on Dispatchers.Main. Analytics logging fire-and-forget.</w:t>
      </w:r>
    </w:p>
    <w:p>
      <w:pPr>
        <w:pStyle w:val="ListParagraph"/>
        <w:numPr>
          <w:ilvl w:val="0"/>
          <w:numId w:val="2"/>
        </w:numPr>
        <w:spacing w:after="40" w:before="40"/>
      </w:pPr>
      <w:r>
        <w:rPr>
          <w:rFonts w:ascii="Arial" w:cs="Arial" w:eastAsia="Arial" w:hAnsi="Arial"/>
          <w:b w:val="false"/>
          <w:bCs w:val="false"/>
          <w:sz w:val="20"/>
          <w:szCs w:val="20"/>
        </w:rPr>
        <w:t xml:space="preserve">Strategy 4 — Parallel OCR &amp; Scoring: OCR and profile loading run concurrently via async/await. OCR: 80–200ms; scoring: ~2ms. Total budget: &lt;300ms.</w:t>
      </w:r>
    </w:p>
    <w:p>
      <w:pPr>
        <w:pStyle w:val="ListParagraph"/>
        <w:numPr>
          <w:ilvl w:val="0"/>
          <w:numId w:val="2"/>
        </w:numPr>
        <w:spacing w:after="40" w:before="40"/>
      </w:pPr>
      <w:r>
        <w:rPr>
          <w:rFonts w:ascii="Arial" w:cs="Arial" w:eastAsia="Arial" w:hAnsi="Arial"/>
          <w:b w:val="false"/>
          <w:bCs w:val="false"/>
          <w:sz w:val="20"/>
          <w:szCs w:val="20"/>
        </w:rPr>
        <w:t xml:space="preserve">Strategy 5 — Opportunity Cost Pre-caching: S6 zone demand data computed on a 5-minute background timer from lightweight zone heat lookup table. Falls back to neutral 50 if unavailable.</w:t>
      </w:r>
    </w:p>
    <w:p>
      <w:pPr>
        <w:pStyle w:val="ListParagraph"/>
        <w:numPr>
          <w:ilvl w:val="0"/>
          <w:numId w:val="2"/>
        </w:numPr>
        <w:spacing w:after="40" w:before="40"/>
      </w:pPr>
      <w:r>
        <w:rPr>
          <w:rFonts w:ascii="Arial" w:cs="Arial" w:eastAsia="Arial" w:hAnsi="Arial"/>
          <w:b w:val="false"/>
          <w:bCs w:val="false"/>
          <w:sz w:val="20"/>
          <w:szCs w:val="20"/>
        </w:rPr>
        <w:t xml:space="preserve">Strategy 6 — Targeted OCR Bounding Boxes: Crop to 200×100 pixel regions where price/distance render instead of full-screen OCR. Reduces pixel dimensionality by &gt;90%.</w:t>
      </w:r>
    </w:p>
    <w:p>
      <w:pPr>
        <w:spacing w:after="100" w:before="280"/>
      </w:pPr>
      <w:r>
        <w:rPr>
          <w:rFonts w:ascii="Arial" w:cs="Arial" w:eastAsia="Arial" w:hAnsi="Arial"/>
          <w:b/>
          <w:bCs/>
          <w:color w:val="1A4F7A"/>
          <w:sz w:val="28"/>
          <w:szCs w:val="28"/>
        </w:rPr>
        <w:t xml:space="preserve">6.3 Core Engine Kotlin Pseudocode</w:t>
      </w:r>
    </w:p>
    <w:p>
      <w:pPr>
        <w:spacing w:after="60" w:before="60"/>
      </w:pPr>
      <w:r>
        <w:rPr>
          <w:rFonts w:ascii="Arial" w:cs="Arial" w:eastAsia="Arial" w:hAnsi="Arial"/>
          <w:sz w:val="20"/>
          <w:szCs w:val="20"/>
        </w:rPr>
        <w:t xml:space="preserve">Production-ready implementation with all v2.0 corrections applied:</w:t>
      </w:r>
    </w:p>
    <w:p>
      <w:pPr>
        <w:spacing w:after="0" w:before="10"/>
      </w:pPr>
      <w:r>
        <w:rPr>
          <w:rFonts w:ascii="Arial" w:cs="Arial" w:eastAsia="Arial" w:hAnsi="Arial"/>
          <w:sz w:val="20"/>
          <w:szCs w:val="20"/>
        </w:rPr>
        <w:t xml:space="preserve"/>
      </w:r>
    </w:p>
    <w:p>
      <w:pPr>
        <w:shd w:fill="EFF6FF" w:val="clear"/>
        <w:spacing w:after="40" w:before="40"/>
        <w:ind w:left="360"/>
      </w:pPr>
      <w:r>
        <w:rPr>
          <w:rFonts w:ascii="Courier New" w:cs="Courier New" w:eastAsia="Courier New" w:hAnsi="Courier New"/>
          <w:color w:val="1E3A5F"/>
          <w:sz w:val="18"/>
          <w:szCs w:val="18"/>
        </w:rPr>
        <w:t xml:space="preserve">fun calculateRideScore(offer: RideOffer, profile: DriverProfile): RideResult {</w:t>
      </w:r>
    </w:p>
    <w:p>
      <w:pPr>
        <w:shd w:fill="EFF6FF" w:val="clear"/>
        <w:spacing w:after="40" w:before="40"/>
        <w:ind w:left="360"/>
      </w:pPr>
      <w:r>
        <w:rPr>
          <w:rFonts w:ascii="Courier New" w:cs="Courier New" w:eastAsia="Courier New" w:hAnsi="Courier New"/>
          <w:color w:val="1E3A5F"/>
          <w:sz w:val="18"/>
          <w:szCs w:val="18"/>
        </w:rPr>
        <w:t xml:space="preserve"/>
      </w:r>
    </w:p>
    <w:p>
      <w:pPr>
        <w:shd w:fill="EFF6FF" w:val="clear"/>
        <w:spacing w:after="40" w:before="40"/>
        <w:ind w:left="360"/>
      </w:pPr>
      <w:r>
        <w:rPr>
          <w:rFonts w:ascii="Courier New" w:cs="Courier New" w:eastAsia="Courier New" w:hAnsi="Courier New"/>
          <w:color w:val="1E3A5F"/>
          <w:sz w:val="18"/>
          <w:szCs w:val="18"/>
        </w:rPr>
        <w:t xml:space="preserve">  // STEP 1: Gross Fare — bonus is commission-exempt (v2.0 fix)</w:t>
      </w:r>
    </w:p>
    <w:p>
      <w:pPr>
        <w:shd w:fill="EFF6FF" w:val="clear"/>
        <w:spacing w:after="40" w:before="40"/>
        <w:ind w:left="360"/>
      </w:pPr>
      <w:r>
        <w:rPr>
          <w:rFonts w:ascii="Courier New" w:cs="Courier New" w:eastAsia="Courier New" w:hAnsi="Courier New"/>
          <w:color w:val="1E3A5F"/>
          <w:sz w:val="18"/>
          <w:szCs w:val="18"/>
        </w:rPr>
        <w:t xml:space="preserve">  val grossFare = when (profile.platformModel) {</w:t>
      </w:r>
    </w:p>
    <w:p>
      <w:pPr>
        <w:shd w:fill="EFF6FF" w:val="clear"/>
        <w:spacing w:after="40" w:before="40"/>
        <w:ind w:left="360"/>
      </w:pPr>
      <w:r>
        <w:rPr>
          <w:rFonts w:ascii="Courier New" w:cs="Courier New" w:eastAsia="Courier New" w:hAnsi="Courier New"/>
          <w:color w:val="1E3A5F"/>
          <w:sz w:val="18"/>
          <w:szCs w:val="18"/>
        </w:rPr>
        <w:t xml:space="preserve">    COMMISSION -&gt; (offer.baseFare * offer.surge * (1 - profile.commissionRate)) + offer.bonus</w:t>
      </w:r>
    </w:p>
    <w:p>
      <w:pPr>
        <w:shd w:fill="EFF6FF" w:val="clear"/>
        <w:spacing w:after="40" w:before="40"/>
        <w:ind w:left="360"/>
      </w:pPr>
      <w:r>
        <w:rPr>
          <w:rFonts w:ascii="Courier New" w:cs="Courier New" w:eastAsia="Courier New" w:hAnsi="Courier New"/>
          <w:color w:val="1E3A5F"/>
          <w:sz w:val="18"/>
          <w:szCs w:val="18"/>
        </w:rPr>
        <w:t xml:space="preserve">    SUBSCRIPTION -&gt; (offer.baseFare * offer.surge) + offer.bonus</w:t>
      </w:r>
    </w:p>
    <w:p>
      <w:pPr>
        <w:shd w:fill="EFF6FF" w:val="clear"/>
        <w:spacing w:after="40" w:before="40"/>
        <w:ind w:left="360"/>
      </w:pPr>
      <w:r>
        <w:rPr>
          <w:rFonts w:ascii="Courier New" w:cs="Courier New" w:eastAsia="Courier New" w:hAnsi="Courier New"/>
          <w:color w:val="1E3A5F"/>
          <w:sz w:val="18"/>
          <w:szCs w:val="18"/>
        </w:rPr>
        <w:t xml:space="preserve">              - profile.sessionTracker.subscriptionAmortisedPerTrip()  // §6.5</w:t>
      </w:r>
    </w:p>
    <w:p>
      <w:pPr>
        <w:shd w:fill="EFF6FF" w:val="clear"/>
        <w:spacing w:after="40" w:before="40"/>
        <w:ind w:left="360"/>
      </w:pPr>
      <w:r>
        <w:rPr>
          <w:rFonts w:ascii="Courier New" w:cs="Courier New" w:eastAsia="Courier New" w:hAnsi="Courier New"/>
          <w:color w:val="1E3A5F"/>
          <w:sz w:val="18"/>
          <w:szCs w:val="18"/>
        </w:rPr>
        <w:t xml:space="preserve">  }</w:t>
      </w:r>
    </w:p>
    <w:p>
      <w:pPr>
        <w:shd w:fill="EFF6FF" w:val="clear"/>
        <w:spacing w:after="40" w:before="40"/>
        <w:ind w:left="360"/>
      </w:pPr>
      <w:r>
        <w:rPr>
          <w:rFonts w:ascii="Courier New" w:cs="Courier New" w:eastAsia="Courier New" w:hAnsi="Courier New"/>
          <w:color w:val="1E3A5F"/>
          <w:sz w:val="18"/>
          <w:szCs w:val="18"/>
        </w:rPr>
        <w:t xml:space="preserve"/>
      </w:r>
    </w:p>
    <w:p>
      <w:pPr>
        <w:shd w:fill="EFF6FF" w:val="clear"/>
        <w:spacing w:after="40" w:before="40"/>
        <w:ind w:left="360"/>
      </w:pPr>
      <w:r>
        <w:rPr>
          <w:rFonts w:ascii="Courier New" w:cs="Courier New" w:eastAsia="Courier New" w:hAnsi="Courier New"/>
          <w:color w:val="1E3A5F"/>
          <w:sz w:val="18"/>
          <w:szCs w:val="18"/>
        </w:rPr>
        <w:t xml:space="preserve">  // STEP 2: CPK = fuel + maintenance only (v2.0 fix — no TimeCostPerKm)</w:t>
      </w:r>
    </w:p>
    <w:p>
      <w:pPr>
        <w:shd w:fill="EFF6FF" w:val="clear"/>
        <w:spacing w:after="40" w:before="40"/>
        <w:ind w:left="360"/>
      </w:pPr>
      <w:r>
        <w:rPr>
          <w:rFonts w:ascii="Courier New" w:cs="Courier New" w:eastAsia="Courier New" w:hAnsi="Courier New"/>
          <w:color w:val="1E3A5F"/>
          <w:sz w:val="18"/>
          <w:szCs w:val="18"/>
        </w:rPr>
        <w:t xml:space="preserve">  val fuelCPK = profile.fuelPricePerUnit / profile.mileagePerUnit</w:t>
      </w:r>
    </w:p>
    <w:p>
      <w:pPr>
        <w:shd w:fill="EFF6FF" w:val="clear"/>
        <w:spacing w:after="40" w:before="40"/>
        <w:ind w:left="360"/>
      </w:pPr>
      <w:r>
        <w:rPr>
          <w:rFonts w:ascii="Courier New" w:cs="Courier New" w:eastAsia="Courier New" w:hAnsi="Courier New"/>
          <w:color w:val="1E3A5F"/>
          <w:sz w:val="18"/>
          <w:szCs w:val="18"/>
        </w:rPr>
        <w:t xml:space="preserve">  val cpk    = fuelCPK + profile.maintenanceCostPerKm</w:t>
      </w:r>
    </w:p>
    <w:p>
      <w:pPr>
        <w:shd w:fill="EFF6FF" w:val="clear"/>
        <w:spacing w:after="40" w:before="40"/>
        <w:ind w:left="360"/>
      </w:pPr>
      <w:r>
        <w:rPr>
          <w:rFonts w:ascii="Courier New" w:cs="Courier New" w:eastAsia="Courier New" w:hAnsi="Courier New"/>
          <w:color w:val="1E3A5F"/>
          <w:sz w:val="18"/>
          <w:szCs w:val="18"/>
        </w:rPr>
        <w:t xml:space="preserve"/>
      </w:r>
    </w:p>
    <w:p>
      <w:pPr>
        <w:shd w:fill="EFF6FF" w:val="clear"/>
        <w:spacing w:after="40" w:before="40"/>
        <w:ind w:left="360"/>
      </w:pPr>
      <w:r>
        <w:rPr>
          <w:rFonts w:ascii="Courier New" w:cs="Courier New" w:eastAsia="Courier New" w:hAnsi="Courier New"/>
          <w:color w:val="1E3A5F"/>
          <w:sz w:val="18"/>
          <w:szCs w:val="18"/>
        </w:rPr>
        <w:t xml:space="preserve">  // STEP 3: Total Distance &amp; Costs (pickup cost implicit in TotalDist)</w:t>
      </w:r>
    </w:p>
    <w:p>
      <w:pPr>
        <w:shd w:fill="EFF6FF" w:val="clear"/>
        <w:spacing w:after="40" w:before="40"/>
        <w:ind w:left="360"/>
      </w:pPr>
      <w:r>
        <w:rPr>
          <w:rFonts w:ascii="Courier New" w:cs="Courier New" w:eastAsia="Courier New" w:hAnsi="Courier New"/>
          <w:color w:val="1E3A5F"/>
          <w:sz w:val="18"/>
          <w:szCs w:val="18"/>
        </w:rPr>
        <w:t xml:space="preserve">  val totalDistKm = offer.pickupDistKm + offer.tripDistKm</w:t>
      </w:r>
    </w:p>
    <w:p>
      <w:pPr>
        <w:shd w:fill="EFF6FF" w:val="clear"/>
        <w:spacing w:after="40" w:before="40"/>
        <w:ind w:left="360"/>
      </w:pPr>
      <w:r>
        <w:rPr>
          <w:rFonts w:ascii="Courier New" w:cs="Courier New" w:eastAsia="Courier New" w:hAnsi="Courier New"/>
          <w:color w:val="1E3A5F"/>
          <w:sz w:val="18"/>
          <w:szCs w:val="18"/>
        </w:rPr>
        <w:t xml:space="preserve">  val fuelCost    = totalDistKm * fuelCPK</w:t>
      </w:r>
    </w:p>
    <w:p>
      <w:pPr>
        <w:shd w:fill="EFF6FF" w:val="clear"/>
        <w:spacing w:after="40" w:before="40"/>
        <w:ind w:left="360"/>
      </w:pPr>
      <w:r>
        <w:rPr>
          <w:rFonts w:ascii="Courier New" w:cs="Courier New" w:eastAsia="Courier New" w:hAnsi="Courier New"/>
          <w:color w:val="1E3A5F"/>
          <w:sz w:val="18"/>
          <w:szCs w:val="18"/>
        </w:rPr>
        <w:t xml:space="preserve">  val maintCost   = totalDistKm * profile.maintenanceCostPerKm</w:t>
      </w:r>
    </w:p>
    <w:p>
      <w:pPr>
        <w:shd w:fill="EFF6FF" w:val="clear"/>
        <w:spacing w:after="40" w:before="40"/>
        <w:ind w:left="360"/>
      </w:pPr>
      <w:r>
        <w:rPr>
          <w:rFonts w:ascii="Courier New" w:cs="Courier New" w:eastAsia="Courier New" w:hAnsi="Courier New"/>
          <w:color w:val="1E3A5F"/>
          <w:sz w:val="18"/>
          <w:szCs w:val="18"/>
        </w:rPr>
        <w:t xml:space="preserve">  val idleTimeCost = (offer.waitMin / 60.0) * profile.hourlyTargetEarning</w:t>
      </w:r>
    </w:p>
    <w:p>
      <w:pPr>
        <w:shd w:fill="EFF6FF" w:val="clear"/>
        <w:spacing w:after="40" w:before="40"/>
        <w:ind w:left="360"/>
      </w:pPr>
      <w:r>
        <w:rPr>
          <w:rFonts w:ascii="Courier New" w:cs="Courier New" w:eastAsia="Courier New" w:hAnsi="Courier New"/>
          <w:color w:val="1E3A5F"/>
          <w:sz w:val="18"/>
          <w:szCs w:val="18"/>
        </w:rPr>
        <w:t xml:space="preserve">  val netProfit   = grossFare - fuelCost - maintCost - idleTimeCost</w:t>
      </w:r>
    </w:p>
    <w:p>
      <w:pPr>
        <w:shd w:fill="EFF6FF" w:val="clear"/>
        <w:spacing w:after="40" w:before="40"/>
        <w:ind w:left="360"/>
      </w:pPr>
      <w:r>
        <w:rPr>
          <w:rFonts w:ascii="Courier New" w:cs="Courier New" w:eastAsia="Courier New" w:hAnsi="Courier New"/>
          <w:color w:val="1E3A5F"/>
          <w:sz w:val="18"/>
          <w:szCs w:val="18"/>
        </w:rPr>
        <w:t xml:space="preserve"/>
      </w:r>
    </w:p>
    <w:p>
      <w:pPr>
        <w:shd w:fill="EFF6FF" w:val="clear"/>
        <w:spacing w:after="40" w:before="40"/>
        <w:ind w:left="360"/>
      </w:pPr>
      <w:r>
        <w:rPr>
          <w:rFonts w:ascii="Courier New" w:cs="Courier New" w:eastAsia="Courier New" w:hAnsi="Courier New"/>
          <w:color w:val="1E3A5F"/>
          <w:sz w:val="18"/>
          <w:szCs w:val="18"/>
        </w:rPr>
        <w:t xml:space="preserve">  // STEP 4: Efficiency Metrics</w:t>
      </w:r>
    </w:p>
    <w:p>
      <w:pPr>
        <w:shd w:fill="EFF6FF" w:val="clear"/>
        <w:spacing w:after="40" w:before="40"/>
        <w:ind w:left="360"/>
      </w:pPr>
      <w:r>
        <w:rPr>
          <w:rFonts w:ascii="Courier New" w:cs="Courier New" w:eastAsia="Courier New" w:hAnsi="Courier New"/>
          <w:color w:val="1E3A5F"/>
          <w:sz w:val="18"/>
          <w:szCs w:val="18"/>
        </w:rPr>
        <w:t xml:space="preserve">  val ppr = offer.pickupDistKm / offer.tripDistKm</w:t>
      </w:r>
    </w:p>
    <w:p>
      <w:pPr>
        <w:shd w:fill="EFF6FF" w:val="clear"/>
        <w:spacing w:after="40" w:before="40"/>
        <w:ind w:left="360"/>
      </w:pPr>
      <w:r>
        <w:rPr>
          <w:rFonts w:ascii="Courier New" w:cs="Courier New" w:eastAsia="Courier New" w:hAnsi="Courier New"/>
          <w:color w:val="1E3A5F"/>
          <w:sz w:val="18"/>
          <w:szCs w:val="18"/>
        </w:rPr>
        <w:t xml:space="preserve">  val pickupTimeMin = (offer.pickupDistKm / profile.cityAvgSpeedKmH) * 60 * profile.congestionFactor</w:t>
      </w:r>
    </w:p>
    <w:p>
      <w:pPr>
        <w:shd w:fill="EFF6FF" w:val="clear"/>
        <w:spacing w:after="40" w:before="40"/>
        <w:ind w:left="360"/>
      </w:pPr>
      <w:r>
        <w:rPr>
          <w:rFonts w:ascii="Courier New" w:cs="Courier New" w:eastAsia="Courier New" w:hAnsi="Courier New"/>
          <w:color w:val="1E3A5F"/>
          <w:sz w:val="18"/>
          <w:szCs w:val="18"/>
        </w:rPr>
        <w:t xml:space="preserve">  val trt = pickupTimeMin + offer.tripTimeMin + offer.waitMin</w:t>
      </w:r>
    </w:p>
    <w:p>
      <w:pPr>
        <w:shd w:fill="EFF6FF" w:val="clear"/>
        <w:spacing w:after="40" w:before="40"/>
        <w:ind w:left="360"/>
      </w:pPr>
      <w:r>
        <w:rPr>
          <w:rFonts w:ascii="Courier New" w:cs="Courier New" w:eastAsia="Courier New" w:hAnsi="Courier New"/>
          <w:color w:val="1E3A5F"/>
          <w:sz w:val="18"/>
          <w:szCs w:val="18"/>
        </w:rPr>
        <w:t xml:space="preserve">  val tes = (offer.tripTimeMin / trt) * 100.0</w:t>
      </w:r>
    </w:p>
    <w:p>
      <w:pPr>
        <w:shd w:fill="EFF6FF" w:val="clear"/>
        <w:spacing w:after="40" w:before="40"/>
        <w:ind w:left="360"/>
      </w:pPr>
      <w:r>
        <w:rPr>
          <w:rFonts w:ascii="Courier New" w:cs="Courier New" w:eastAsia="Courier New" w:hAnsi="Courier New"/>
          <w:color w:val="1E3A5F"/>
          <w:sz w:val="18"/>
          <w:szCs w:val="18"/>
        </w:rPr>
        <w:t xml:space="preserve">  val epk = if (offer.tripDistKm &gt; 0.0) netProfit / offer.tripDistKm else 0.0</w:t>
      </w:r>
    </w:p>
    <w:p>
      <w:pPr>
        <w:shd w:fill="EFF6FF" w:val="clear"/>
        <w:spacing w:after="40" w:before="40"/>
        <w:ind w:left="360"/>
      </w:pPr>
      <w:r>
        <w:rPr>
          <w:rFonts w:ascii="Courier New" w:cs="Courier New" w:eastAsia="Courier New" w:hAnsi="Courier New"/>
          <w:color w:val="1E3A5F"/>
          <w:sz w:val="18"/>
          <w:szCs w:val="18"/>
        </w:rPr>
        <w:t xml:space="preserve">  val hrr = if (trt &gt; 0.0) (netProfit / trt) * 60.0 else 0.0  // display-only</w:t>
      </w:r>
    </w:p>
    <w:p>
      <w:pPr>
        <w:shd w:fill="EFF6FF" w:val="clear"/>
        <w:spacing w:after="40" w:before="40"/>
        <w:ind w:left="360"/>
      </w:pPr>
      <w:r>
        <w:rPr>
          <w:rFonts w:ascii="Courier New" w:cs="Courier New" w:eastAsia="Courier New" w:hAnsi="Courier New"/>
          <w:color w:val="1E3A5F"/>
          <w:sz w:val="18"/>
          <w:szCs w:val="18"/>
        </w:rPr>
        <w:t xml:space="preserve"/>
      </w:r>
    </w:p>
    <w:p>
      <w:pPr>
        <w:shd w:fill="EFF6FF" w:val="clear"/>
        <w:spacing w:after="40" w:before="40"/>
        <w:ind w:left="360"/>
      </w:pPr>
      <w:r>
        <w:rPr>
          <w:rFonts w:ascii="Courier New" w:cs="Courier New" w:eastAsia="Courier New" w:hAnsi="Courier New"/>
          <w:color w:val="1E3A5F"/>
          <w:sz w:val="18"/>
          <w:szCs w:val="18"/>
        </w:rPr>
        <w:t xml:space="preserve">  // STEP 5: Vehicle-class specific EPK threshold (v2.0 fix)</w:t>
      </w:r>
    </w:p>
    <w:p>
      <w:pPr>
        <w:shd w:fill="EFF6FF" w:val="clear"/>
        <w:spacing w:after="40" w:before="40"/>
        <w:ind w:left="360"/>
      </w:pPr>
      <w:r>
        <w:rPr>
          <w:rFonts w:ascii="Courier New" w:cs="Courier New" w:eastAsia="Courier New" w:hAnsi="Courier New"/>
          <w:color w:val="1E3A5F"/>
          <w:sz w:val="18"/>
          <w:szCs w:val="18"/>
        </w:rPr>
        <w:t xml:space="preserve">  val epkFloor = if (profile.vehicleClass == TWO_WHEELER) 2.00 else 3.50</w:t>
      </w:r>
    </w:p>
    <w:p>
      <w:pPr>
        <w:shd w:fill="EFF6FF" w:val="clear"/>
        <w:spacing w:after="40" w:before="40"/>
        <w:ind w:left="360"/>
      </w:pPr>
      <w:r>
        <w:rPr>
          <w:rFonts w:ascii="Courier New" w:cs="Courier New" w:eastAsia="Courier New" w:hAnsi="Courier New"/>
          <w:color w:val="1E3A5F"/>
          <w:sz w:val="18"/>
          <w:szCs w:val="18"/>
        </w:rPr>
        <w:t xml:space="preserve">  val profitabilityFloor = cpk * totalDistKm * 1.25</w:t>
      </w:r>
    </w:p>
    <w:p>
      <w:pPr>
        <w:shd w:fill="EFF6FF" w:val="clear"/>
        <w:spacing w:after="40" w:before="40"/>
        <w:ind w:left="360"/>
      </w:pPr>
      <w:r>
        <w:rPr>
          <w:rFonts w:ascii="Courier New" w:cs="Courier New" w:eastAsia="Courier New" w:hAnsi="Courier New"/>
          <w:color w:val="1E3A5F"/>
          <w:sz w:val="18"/>
          <w:szCs w:val="18"/>
        </w:rPr>
        <w:t xml:space="preserve"/>
      </w:r>
    </w:p>
    <w:p>
      <w:pPr>
        <w:shd w:fill="EFF6FF" w:val="clear"/>
        <w:spacing w:after="40" w:before="40"/>
        <w:ind w:left="360"/>
      </w:pPr>
      <w:r>
        <w:rPr>
          <w:rFonts w:ascii="Courier New" w:cs="Courier New" w:eastAsia="Courier New" w:hAnsi="Courier New"/>
          <w:color w:val="1E3A5F"/>
          <w:sz w:val="18"/>
          <w:szCs w:val="18"/>
        </w:rPr>
        <w:t xml:space="preserve">  // STEP 6: Hard Override Check</w:t>
      </w:r>
    </w:p>
    <w:p>
      <w:pPr>
        <w:shd w:fill="EFF6FF" w:val="clear"/>
        <w:spacing w:after="40" w:before="40"/>
        <w:ind w:left="360"/>
      </w:pPr>
      <w:r>
        <w:rPr>
          <w:rFonts w:ascii="Courier New" w:cs="Courier New" w:eastAsia="Courier New" w:hAnsi="Courier New"/>
          <w:color w:val="1E3A5F"/>
          <w:sz w:val="18"/>
          <w:szCs w:val="18"/>
        </w:rPr>
        <w:t xml:space="preserve">  val overrideReason = when {</w:t>
      </w:r>
    </w:p>
    <w:p>
      <w:pPr>
        <w:shd w:fill="EFF6FF" w:val="clear"/>
        <w:spacing w:after="40" w:before="40"/>
        <w:ind w:left="360"/>
      </w:pPr>
      <w:r>
        <w:rPr>
          <w:rFonts w:ascii="Courier New" w:cs="Courier New" w:eastAsia="Courier New" w:hAnsi="Courier New"/>
          <w:color w:val="1E3A5F"/>
          <w:sz w:val="18"/>
          <w:szCs w:val="18"/>
        </w:rPr>
        <w:t xml:space="preserve">    netProfit &lt; 0             -&gt; "NET_PROFIT_NEGATIVE"</w:t>
      </w:r>
    </w:p>
    <w:p>
      <w:pPr>
        <w:shd w:fill="EFF6FF" w:val="clear"/>
        <w:spacing w:after="40" w:before="40"/>
        <w:ind w:left="360"/>
      </w:pPr>
      <w:r>
        <w:rPr>
          <w:rFonts w:ascii="Courier New" w:cs="Courier New" w:eastAsia="Courier New" w:hAnsi="Courier New"/>
          <w:color w:val="1E3A5F"/>
          <w:sz w:val="18"/>
          <w:szCs w:val="18"/>
        </w:rPr>
        <w:t xml:space="preserve">    grossFare &lt; profitabilityFloor -&gt; "BELOW_PROFITABILITY_FLOOR"</w:t>
      </w:r>
    </w:p>
    <w:p>
      <w:pPr>
        <w:shd w:fill="EFF6FF" w:val="clear"/>
        <w:spacing w:after="40" w:before="40"/>
        <w:ind w:left="360"/>
      </w:pPr>
      <w:r>
        <w:rPr>
          <w:rFonts w:ascii="Courier New" w:cs="Courier New" w:eastAsia="Courier New" w:hAnsi="Courier New"/>
          <w:color w:val="1E3A5F"/>
          <w:sz w:val="18"/>
          <w:szCs w:val="18"/>
        </w:rPr>
        <w:t xml:space="preserve">    ppr &gt; 0.80                -&gt; "PPR_EXTREME"</w:t>
      </w:r>
    </w:p>
    <w:p>
      <w:pPr>
        <w:shd w:fill="EFF6FF" w:val="clear"/>
        <w:spacing w:after="40" w:before="40"/>
        <w:ind w:left="360"/>
      </w:pPr>
      <w:r>
        <w:rPr>
          <w:rFonts w:ascii="Courier New" w:cs="Courier New" w:eastAsia="Courier New" w:hAnsi="Courier New"/>
          <w:color w:val="1E3A5F"/>
          <w:sz w:val="18"/>
          <w:szCs w:val="18"/>
        </w:rPr>
        <w:t xml:space="preserve">    tes &lt; 25.0                -&gt; "TES_CATASTROPHIC"</w:t>
      </w:r>
    </w:p>
    <w:p>
      <w:pPr>
        <w:shd w:fill="EFF6FF" w:val="clear"/>
        <w:spacing w:after="40" w:before="40"/>
        <w:ind w:left="360"/>
      </w:pPr>
      <w:r>
        <w:rPr>
          <w:rFonts w:ascii="Courier New" w:cs="Courier New" w:eastAsia="Courier New" w:hAnsi="Courier New"/>
          <w:color w:val="1E3A5F"/>
          <w:sz w:val="18"/>
          <w:szCs w:val="18"/>
        </w:rPr>
        <w:t xml:space="preserve">    epk &lt; epkFloor            -&gt; "EPK_BELOW_FLOOR"</w:t>
      </w:r>
    </w:p>
    <w:p>
      <w:pPr>
        <w:shd w:fill="EFF6FF" w:val="clear"/>
        <w:spacing w:after="40" w:before="40"/>
        <w:ind w:left="360"/>
      </w:pPr>
      <w:r>
        <w:rPr>
          <w:rFonts w:ascii="Courier New" w:cs="Courier New" w:eastAsia="Courier New" w:hAnsi="Courier New"/>
          <w:color w:val="1E3A5F"/>
          <w:sz w:val="18"/>
          <w:szCs w:val="18"/>
        </w:rPr>
        <w:t xml:space="preserve">    else                      -&gt; null</w:t>
      </w:r>
    </w:p>
    <w:p>
      <w:pPr>
        <w:shd w:fill="EFF6FF" w:val="clear"/>
        <w:spacing w:after="40" w:before="40"/>
        <w:ind w:left="360"/>
      </w:pPr>
      <w:r>
        <w:rPr>
          <w:rFonts w:ascii="Courier New" w:cs="Courier New" w:eastAsia="Courier New" w:hAnsi="Courier New"/>
          <w:color w:val="1E3A5F"/>
          <w:sz w:val="18"/>
          <w:szCs w:val="18"/>
        </w:rPr>
        <w:t xml:space="preserve">  }</w:t>
      </w:r>
    </w:p>
    <w:p>
      <w:pPr>
        <w:shd w:fill="EFF6FF" w:val="clear"/>
        <w:spacing w:after="40" w:before="40"/>
        <w:ind w:left="360"/>
      </w:pPr>
      <w:r>
        <w:rPr>
          <w:rFonts w:ascii="Courier New" w:cs="Courier New" w:eastAsia="Courier New" w:hAnsi="Courier New"/>
          <w:color w:val="1E3A5F"/>
          <w:sz w:val="18"/>
          <w:szCs w:val="18"/>
        </w:rPr>
        <w:t xml:space="preserve">  if (overrideReason != null) {</w:t>
      </w:r>
    </w:p>
    <w:p>
      <w:pPr>
        <w:shd w:fill="EFF6FF" w:val="clear"/>
        <w:spacing w:after="40" w:before="40"/>
        <w:ind w:left="360"/>
      </w:pPr>
      <w:r>
        <w:rPr>
          <w:rFonts w:ascii="Courier New" w:cs="Courier New" w:eastAsia="Courier New" w:hAnsi="Courier New"/>
          <w:color w:val="1E3A5F"/>
          <w:sz w:val="18"/>
          <w:szCs w:val="18"/>
        </w:rPr>
        <w:t xml:space="preserve">    return RideResult(score=10.0, signal=RED, netProfit=netProfit,</w:t>
      </w:r>
    </w:p>
    <w:p>
      <w:pPr>
        <w:shd w:fill="EFF6FF" w:val="clear"/>
        <w:spacing w:after="40" w:before="40"/>
        <w:ind w:left="360"/>
      </w:pPr>
      <w:r>
        <w:rPr>
          <w:rFonts w:ascii="Courier New" w:cs="Courier New" w:eastAsia="Courier New" w:hAnsi="Courier New"/>
          <w:color w:val="1E3A5F"/>
          <w:sz w:val="18"/>
          <w:szCs w:val="18"/>
        </w:rPr>
        <w:t xml:space="preserve">                      overrideReason=overrideReason, epk=epk, hrr=hrr)</w:t>
      </w:r>
    </w:p>
    <w:p>
      <w:pPr>
        <w:shd w:fill="EFF6FF" w:val="clear"/>
        <w:spacing w:after="40" w:before="40"/>
        <w:ind w:left="360"/>
      </w:pPr>
      <w:r>
        <w:rPr>
          <w:rFonts w:ascii="Courier New" w:cs="Courier New" w:eastAsia="Courier New" w:hAnsi="Courier New"/>
          <w:color w:val="1E3A5F"/>
          <w:sz w:val="18"/>
          <w:szCs w:val="18"/>
        </w:rPr>
        <w:t xml:space="preserve">  }</w:t>
      </w:r>
    </w:p>
    <w:p>
      <w:pPr>
        <w:shd w:fill="EFF6FF" w:val="clear"/>
        <w:spacing w:after="40" w:before="40"/>
        <w:ind w:left="360"/>
      </w:pPr>
      <w:r>
        <w:rPr>
          <w:rFonts w:ascii="Courier New" w:cs="Courier New" w:eastAsia="Courier New" w:hAnsi="Courier New"/>
          <w:color w:val="1E3A5F"/>
          <w:sz w:val="18"/>
          <w:szCs w:val="18"/>
        </w:rPr>
        <w:t xml:space="preserve"/>
      </w:r>
    </w:p>
    <w:p>
      <w:pPr>
        <w:shd w:fill="EFF6FF" w:val="clear"/>
        <w:spacing w:after="40" w:before="40"/>
        <w:ind w:left="360"/>
      </w:pPr>
      <w:r>
        <w:rPr>
          <w:rFonts w:ascii="Courier New" w:cs="Courier New" w:eastAsia="Courier New" w:hAnsi="Courier New"/>
          <w:color w:val="1E3A5F"/>
          <w:sz w:val="18"/>
          <w:szCs w:val="18"/>
        </w:rPr>
        <w:t xml:space="preserve">  // STEP 7: Sub-Scores</w:t>
      </w:r>
    </w:p>
    <w:p>
      <w:pPr>
        <w:shd w:fill="EFF6FF" w:val="clear"/>
        <w:spacing w:after="40" w:before="40"/>
        <w:ind w:left="360"/>
      </w:pPr>
      <w:r>
        <w:rPr>
          <w:rFonts w:ascii="Courier New" w:cs="Courier New" w:eastAsia="Courier New" w:hAnsi="Courier New"/>
          <w:color w:val="1E3A5F"/>
          <w:sz w:val="18"/>
          <w:szCs w:val="18"/>
        </w:rPr>
        <w:t xml:space="preserve">  val targetNetProfit = if (offer.tripTimeMin &gt; 0.0)</w:t>
      </w:r>
    </w:p>
    <w:p>
      <w:pPr>
        <w:shd w:fill="EFF6FF" w:val="clear"/>
        <w:spacing w:after="40" w:before="40"/>
        <w:ind w:left="360"/>
      </w:pPr>
      <w:r>
        <w:rPr>
          <w:rFonts w:ascii="Courier New" w:cs="Courier New" w:eastAsia="Courier New" w:hAnsi="Courier New"/>
          <w:color w:val="1E3A5F"/>
          <w:sz w:val="18"/>
          <w:szCs w:val="18"/>
        </w:rPr>
        <w:t xml:space="preserve">    profile.hourlyTargetEarning * (offer.tripTimeMin / 60.0) else 1.0  // div-by-zero guard</w:t>
      </w:r>
    </w:p>
    <w:p>
      <w:pPr>
        <w:shd w:fill="EFF6FF" w:val="clear"/>
        <w:spacing w:after="40" w:before="40"/>
        <w:ind w:left="360"/>
      </w:pPr>
      <w:r>
        <w:rPr>
          <w:rFonts w:ascii="Courier New" w:cs="Courier New" w:eastAsia="Courier New" w:hAnsi="Courier New"/>
          <w:color w:val="1E3A5F"/>
          <w:sz w:val="18"/>
          <w:szCs w:val="18"/>
        </w:rPr>
        <w:t xml:space="preserve">  val targetEpk = cpk * 2.0   // documented: 50 = break-even, 100 = 2x cost recovery</w:t>
      </w:r>
    </w:p>
    <w:p>
      <w:pPr>
        <w:shd w:fill="EFF6FF" w:val="clear"/>
        <w:spacing w:after="40" w:before="40"/>
        <w:ind w:left="360"/>
      </w:pPr>
      <w:r>
        <w:rPr>
          <w:rFonts w:ascii="Courier New" w:cs="Courier New" w:eastAsia="Courier New" w:hAnsi="Courier New"/>
          <w:color w:val="1E3A5F"/>
          <w:sz w:val="18"/>
          <w:szCs w:val="18"/>
        </w:rPr>
        <w:t xml:space="preserve"/>
      </w:r>
    </w:p>
    <w:p>
      <w:pPr>
        <w:shd w:fill="EFF6FF" w:val="clear"/>
        <w:spacing w:after="40" w:before="40"/>
        <w:ind w:left="360"/>
      </w:pPr>
      <w:r>
        <w:rPr>
          <w:rFonts w:ascii="Courier New" w:cs="Courier New" w:eastAsia="Courier New" w:hAnsi="Courier New"/>
          <w:color w:val="1E3A5F"/>
          <w:sz w:val="18"/>
          <w:szCs w:val="18"/>
        </w:rPr>
        <w:t xml:space="preserve">  val s1 = clamp((netProfit / targetNetProfit) * 100.0, 0.0, 100.0)</w:t>
      </w:r>
    </w:p>
    <w:p>
      <w:pPr>
        <w:shd w:fill="EFF6FF" w:val="clear"/>
        <w:spacing w:after="40" w:before="40"/>
        <w:ind w:left="360"/>
      </w:pPr>
      <w:r>
        <w:rPr>
          <w:rFonts w:ascii="Courier New" w:cs="Courier New" w:eastAsia="Courier New" w:hAnsi="Courier New"/>
          <w:color w:val="1E3A5F"/>
          <w:sz w:val="18"/>
          <w:szCs w:val="18"/>
        </w:rPr>
        <w:t xml:space="preserve">  val s2 = clamp((epk / targetEpk) * 100.0, 0.0, 100.0)</w:t>
      </w:r>
    </w:p>
    <w:p>
      <w:pPr>
        <w:shd w:fill="EFF6FF" w:val="clear"/>
        <w:spacing w:after="40" w:before="40"/>
        <w:ind w:left="360"/>
      </w:pPr>
      <w:r>
        <w:rPr>
          <w:rFonts w:ascii="Courier New" w:cs="Courier New" w:eastAsia="Courier New" w:hAnsi="Courier New"/>
          <w:color w:val="1E3A5F"/>
          <w:sz w:val="18"/>
          <w:szCs w:val="18"/>
        </w:rPr>
        <w:t xml:space="preserve">  val s3 = clamp(tes, 0.0, 100.0)</w:t>
      </w:r>
    </w:p>
    <w:p>
      <w:pPr>
        <w:shd w:fill="EFF6FF" w:val="clear"/>
        <w:spacing w:after="40" w:before="40"/>
        <w:ind w:left="360"/>
      </w:pPr>
      <w:r>
        <w:rPr>
          <w:rFonts w:ascii="Courier New" w:cs="Courier New" w:eastAsia="Courier New" w:hAnsi="Courier New"/>
          <w:color w:val="1E3A5F"/>
          <w:sz w:val="18"/>
          <w:szCs w:val="18"/>
        </w:rPr>
        <w:t xml:space="preserve">  val s4 = clamp((1.0 - ppr) * 100.0, 0.0, 100.0)</w:t>
      </w:r>
    </w:p>
    <w:p>
      <w:pPr>
        <w:shd w:fill="EFF6FF" w:val="clear"/>
        <w:spacing w:after="40" w:before="40"/>
        <w:ind w:left="360"/>
      </w:pPr>
      <w:r>
        <w:rPr>
          <w:rFonts w:ascii="Courier New" w:cs="Courier New" w:eastAsia="Courier New" w:hAnsi="Courier New"/>
          <w:color w:val="1E3A5F"/>
          <w:sz w:val="18"/>
          <w:szCs w:val="18"/>
        </w:rPr>
        <w:t xml:space="preserve">  val s5 = clamp((offer.surge - 1.0) * 50.0 + (offer.bonus / 5.0), 0.0, 100.0)</w:t>
      </w:r>
    </w:p>
    <w:p>
      <w:pPr>
        <w:shd w:fill="EFF6FF" w:val="clear"/>
        <w:spacing w:after="40" w:before="40"/>
        <w:ind w:left="360"/>
      </w:pPr>
      <w:r>
        <w:rPr>
          <w:rFonts w:ascii="Courier New" w:cs="Courier New" w:eastAsia="Courier New" w:hAnsi="Courier New"/>
          <w:color w:val="1E3A5F"/>
          <w:sz w:val="18"/>
          <w:szCs w:val="18"/>
        </w:rPr>
        <w:t xml:space="preserve">  val s6 = opportunityCostScore.get()  // pre-cached every 5 min, default 50</w:t>
      </w:r>
    </w:p>
    <w:p>
      <w:pPr>
        <w:shd w:fill="EFF6FF" w:val="clear"/>
        <w:spacing w:after="40" w:before="40"/>
        <w:ind w:left="360"/>
      </w:pPr>
      <w:r>
        <w:rPr>
          <w:rFonts w:ascii="Courier New" w:cs="Courier New" w:eastAsia="Courier New" w:hAnsi="Courier New"/>
          <w:color w:val="1E3A5F"/>
          <w:sz w:val="18"/>
          <w:szCs w:val="18"/>
        </w:rPr>
        <w:t xml:space="preserve"/>
      </w:r>
    </w:p>
    <w:p>
      <w:pPr>
        <w:shd w:fill="EFF6FF" w:val="clear"/>
        <w:spacing w:after="40" w:before="40"/>
        <w:ind w:left="360"/>
      </w:pPr>
      <w:r>
        <w:rPr>
          <w:rFonts w:ascii="Courier New" w:cs="Courier New" w:eastAsia="Courier New" w:hAnsi="Courier New"/>
          <w:color w:val="1E3A5F"/>
          <w:sz w:val="18"/>
          <w:szCs w:val="18"/>
        </w:rPr>
        <w:t xml:space="preserve">  // STEP 8: Dynamic Weights from canonical matrix (§4.4)</w:t>
      </w:r>
    </w:p>
    <w:p>
      <w:pPr>
        <w:shd w:fill="EFF6FF" w:val="clear"/>
        <w:spacing w:after="40" w:before="40"/>
        <w:ind w:left="360"/>
      </w:pPr>
      <w:r>
        <w:rPr>
          <w:rFonts w:ascii="Courier New" w:cs="Courier New" w:eastAsia="Courier New" w:hAnsi="Courier New"/>
          <w:color w:val="1E3A5F"/>
          <w:sz w:val="18"/>
          <w:szCs w:val="18"/>
        </w:rPr>
        <w:t xml:space="preserve">  val w = WeightMatrix.forHour(LocalTime.now().hour)  // always sums to 1.00</w:t>
      </w:r>
    </w:p>
    <w:p>
      <w:pPr>
        <w:shd w:fill="EFF6FF" w:val="clear"/>
        <w:spacing w:after="40" w:before="40"/>
        <w:ind w:left="360"/>
      </w:pPr>
      <w:r>
        <w:rPr>
          <w:rFonts w:ascii="Courier New" w:cs="Courier New" w:eastAsia="Courier New" w:hAnsi="Courier New"/>
          <w:color w:val="1E3A5F"/>
          <w:sz w:val="18"/>
          <w:szCs w:val="18"/>
        </w:rPr>
        <w:t xml:space="preserve"/>
      </w:r>
    </w:p>
    <w:p>
      <w:pPr>
        <w:shd w:fill="EFF6FF" w:val="clear"/>
        <w:spacing w:after="40" w:before="40"/>
        <w:ind w:left="360"/>
      </w:pPr>
      <w:r>
        <w:rPr>
          <w:rFonts w:ascii="Courier New" w:cs="Courier New" w:eastAsia="Courier New" w:hAnsi="Courier New"/>
          <w:color w:val="1E3A5F"/>
          <w:sz w:val="18"/>
          <w:szCs w:val="18"/>
        </w:rPr>
        <w:t xml:space="preserve">  val rideScore = s1*w.profit + s2*w.epk + s3*w.time +</w:t>
      </w:r>
    </w:p>
    <w:p>
      <w:pPr>
        <w:shd w:fill="EFF6FF" w:val="clear"/>
        <w:spacing w:after="40" w:before="40"/>
        <w:ind w:left="360"/>
      </w:pPr>
      <w:r>
        <w:rPr>
          <w:rFonts w:ascii="Courier New" w:cs="Courier New" w:eastAsia="Courier New" w:hAnsi="Courier New"/>
          <w:color w:val="1E3A5F"/>
          <w:sz w:val="18"/>
          <w:szCs w:val="18"/>
        </w:rPr>
        <w:t xml:space="preserve">                  s4*w.pickup + s5*w.surge + s6*w.opp</w:t>
      </w:r>
    </w:p>
    <w:p>
      <w:pPr>
        <w:shd w:fill="EFF6FF" w:val="clear"/>
        <w:spacing w:after="40" w:before="40"/>
        <w:ind w:left="360"/>
      </w:pPr>
      <w:r>
        <w:rPr>
          <w:rFonts w:ascii="Courier New" w:cs="Courier New" w:eastAsia="Courier New" w:hAnsi="Courier New"/>
          <w:color w:val="1E3A5F"/>
          <w:sz w:val="18"/>
          <w:szCs w:val="18"/>
        </w:rPr>
        <w:t xml:space="preserve"/>
      </w:r>
    </w:p>
    <w:p>
      <w:pPr>
        <w:shd w:fill="EFF6FF" w:val="clear"/>
        <w:spacing w:after="40" w:before="40"/>
        <w:ind w:left="360"/>
      </w:pPr>
      <w:r>
        <w:rPr>
          <w:rFonts w:ascii="Courier New" w:cs="Courier New" w:eastAsia="Courier New" w:hAnsi="Courier New"/>
          <w:color w:val="1E3A5F"/>
          <w:sz w:val="18"/>
          <w:szCs w:val="18"/>
        </w:rPr>
        <w:t xml:space="preserve">  // STEP 9: Classify &amp; Return</w:t>
      </w:r>
    </w:p>
    <w:p>
      <w:pPr>
        <w:shd w:fill="EFF6FF" w:val="clear"/>
        <w:spacing w:after="40" w:before="40"/>
        <w:ind w:left="360"/>
      </w:pPr>
      <w:r>
        <w:rPr>
          <w:rFonts w:ascii="Courier New" w:cs="Courier New" w:eastAsia="Courier New" w:hAnsi="Courier New"/>
          <w:color w:val="1E3A5F"/>
          <w:sz w:val="18"/>
          <w:szCs w:val="18"/>
        </w:rPr>
        <w:t xml:space="preserve">  val signal = when {</w:t>
      </w:r>
    </w:p>
    <w:p>
      <w:pPr>
        <w:shd w:fill="EFF6FF" w:val="clear"/>
        <w:spacing w:after="40" w:before="40"/>
        <w:ind w:left="360"/>
      </w:pPr>
      <w:r>
        <w:rPr>
          <w:rFonts w:ascii="Courier New" w:cs="Courier New" w:eastAsia="Courier New" w:hAnsi="Courier New"/>
          <w:color w:val="1E3A5F"/>
          <w:sz w:val="18"/>
          <w:szCs w:val="18"/>
        </w:rPr>
        <w:t xml:space="preserve">    rideScore &gt;= 75 -&gt; GREEN</w:t>
      </w:r>
    </w:p>
    <w:p>
      <w:pPr>
        <w:shd w:fill="EFF6FF" w:val="clear"/>
        <w:spacing w:after="40" w:before="40"/>
        <w:ind w:left="360"/>
      </w:pPr>
      <w:r>
        <w:rPr>
          <w:rFonts w:ascii="Courier New" w:cs="Courier New" w:eastAsia="Courier New" w:hAnsi="Courier New"/>
          <w:color w:val="1E3A5F"/>
          <w:sz w:val="18"/>
          <w:szCs w:val="18"/>
        </w:rPr>
        <w:t xml:space="preserve">    rideScore &gt;= 45 -&gt; YELLOW</w:t>
      </w:r>
    </w:p>
    <w:p>
      <w:pPr>
        <w:shd w:fill="EFF6FF" w:val="clear"/>
        <w:spacing w:after="40" w:before="40"/>
        <w:ind w:left="360"/>
      </w:pPr>
      <w:r>
        <w:rPr>
          <w:rFonts w:ascii="Courier New" w:cs="Courier New" w:eastAsia="Courier New" w:hAnsi="Courier New"/>
          <w:color w:val="1E3A5F"/>
          <w:sz w:val="18"/>
          <w:szCs w:val="18"/>
        </w:rPr>
        <w:t xml:space="preserve">    else            -&gt; RED</w:t>
      </w:r>
    </w:p>
    <w:p>
      <w:pPr>
        <w:shd w:fill="EFF6FF" w:val="clear"/>
        <w:spacing w:after="40" w:before="40"/>
        <w:ind w:left="360"/>
      </w:pPr>
      <w:r>
        <w:rPr>
          <w:rFonts w:ascii="Courier New" w:cs="Courier New" w:eastAsia="Courier New" w:hAnsi="Courier New"/>
          <w:color w:val="1E3A5F"/>
          <w:sz w:val="18"/>
          <w:szCs w:val="18"/>
        </w:rPr>
        <w:t xml:space="preserve">  }</w:t>
      </w:r>
    </w:p>
    <w:p>
      <w:pPr>
        <w:shd w:fill="EFF6FF" w:val="clear"/>
        <w:spacing w:after="40" w:before="40"/>
        <w:ind w:left="360"/>
      </w:pPr>
      <w:r>
        <w:rPr>
          <w:rFonts w:ascii="Courier New" w:cs="Courier New" w:eastAsia="Courier New" w:hAnsi="Courier New"/>
          <w:color w:val="1E3A5F"/>
          <w:sz w:val="18"/>
          <w:szCs w:val="18"/>
        </w:rPr>
        <w:t xml:space="preserve">  return RideResult(score=rideScore, signal=signal, netProfit=netProfit,</w:t>
      </w:r>
    </w:p>
    <w:p>
      <w:pPr>
        <w:shd w:fill="EFF6FF" w:val="clear"/>
        <w:spacing w:after="40" w:before="40"/>
        <w:ind w:left="360"/>
      </w:pPr>
      <w:r>
        <w:rPr>
          <w:rFonts w:ascii="Courier New" w:cs="Courier New" w:eastAsia="Courier New" w:hAnsi="Courier New"/>
          <w:color w:val="1E3A5F"/>
          <w:sz w:val="18"/>
          <w:szCs w:val="18"/>
        </w:rPr>
        <w:t xml:space="preserve">                    epk=epk, hrr=hrr, tes=tes, ppr=ppr, cpk=cpk)</w:t>
      </w:r>
    </w:p>
    <w:p>
      <w:pPr>
        <w:shd w:fill="EFF6FF" w:val="clear"/>
        <w:spacing w:after="40" w:before="40"/>
        <w:ind w:left="360"/>
      </w:pPr>
      <w:r>
        <w:rPr>
          <w:rFonts w:ascii="Courier New" w:cs="Courier New" w:eastAsia="Courier New" w:hAnsi="Courier New"/>
          <w:color w:val="1E3A5F"/>
          <w:sz w:val="18"/>
          <w:szCs w:val="18"/>
        </w:rPr>
        <w:t xml:space="preserve">}</w:t>
      </w:r>
    </w:p>
    <w:p>
      <w:pPr>
        <w:spacing w:after="100" w:before="280"/>
      </w:pPr>
      <w:r>
        <w:rPr>
          <w:rFonts w:ascii="Arial" w:cs="Arial" w:eastAsia="Arial" w:hAnsi="Arial"/>
          <w:b/>
          <w:bCs/>
          <w:color w:val="1A4F7A"/>
          <w:sz w:val="28"/>
          <w:szCs w:val="28"/>
        </w:rPr>
        <w:t xml:space="preserve">6.4 Accessibility Service Configuration</w:t>
      </w:r>
    </w:p>
    <w:p>
      <w:pPr>
        <w:spacing w:after="60" w:before="60"/>
      </w:pPr>
      <w:r>
        <w:rPr>
          <w:rFonts w:ascii="Arial" w:cs="Arial" w:eastAsia="Arial" w:hAnsi="Arial"/>
          <w:sz w:val="20"/>
          <w:szCs w:val="20"/>
        </w:rPr>
        <w:t xml:space="preserve">CRITICAL: Verified package names only. Using wrong package names means the AccessibilityService event filter will never fire for that platform.</w:t>
      </w:r>
    </w:p>
    <w:p>
      <w:pPr>
        <w:spacing w:after="0" w:before="1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880"/>
        <w:gridCol w:w="2880"/>
        <w:gridCol w:w="1440"/>
      </w:tblGrid>
      <w:tr>
        <w:tc>
          <w:tcPr>
            <w:tcW w:type="dxa" w:w="2160"/>
            <w:tcBorders>
              <w:top w:val="single" w:color="D1D5DB" w:sz="1"/>
              <w:left w:val="single" w:color="D1D5DB" w:sz="1"/>
              <w:bottom w:val="single" w:color="D1D5DB" w:sz="1"/>
              <w:right w:val="single" w:color="D1D5DB" w:sz="1"/>
            </w:tcBorders>
            <w:shd w:fill="0D2137"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Platform</w:t>
            </w:r>
          </w:p>
        </w:tc>
        <w:tc>
          <w:tcPr>
            <w:tcW w:type="dxa" w:w="2880"/>
            <w:tcBorders>
              <w:top w:val="single" w:color="D1D5DB" w:sz="1"/>
              <w:left w:val="single" w:color="D1D5DB" w:sz="1"/>
              <w:bottom w:val="single" w:color="D1D5DB" w:sz="1"/>
              <w:right w:val="single" w:color="D1D5DB" w:sz="1"/>
            </w:tcBorders>
            <w:shd w:fill="0D2137"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Verified Package Name</w:t>
            </w:r>
          </w:p>
        </w:tc>
        <w:tc>
          <w:tcPr>
            <w:tcW w:type="dxa" w:w="2880"/>
            <w:tcBorders>
              <w:top w:val="single" w:color="D1D5DB" w:sz="1"/>
              <w:left w:val="single" w:color="D1D5DB" w:sz="1"/>
              <w:bottom w:val="single" w:color="D1D5DB" w:sz="1"/>
              <w:right w:val="single" w:color="D1D5DB" w:sz="1"/>
            </w:tcBorders>
            <w:shd w:fill="0D2137"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Common Wrong Package</w:t>
            </w:r>
          </w:p>
        </w:tc>
        <w:tc>
          <w:tcPr>
            <w:tcW w:type="dxa" w:w="1440"/>
            <w:tcBorders>
              <w:top w:val="single" w:color="D1D5DB" w:sz="1"/>
              <w:left w:val="single" w:color="D1D5DB" w:sz="1"/>
              <w:bottom w:val="single" w:color="D1D5DB" w:sz="1"/>
              <w:right w:val="single" w:color="D1D5DB" w:sz="1"/>
            </w:tcBorders>
            <w:shd w:fill="0D2137"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Status</w:t>
            </w:r>
          </w:p>
        </w:tc>
      </w:tr>
      <w:tr>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Uber Driver</w:t>
            </w:r>
          </w:p>
        </w:tc>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com.ubercab.driver</w:t>
            </w:r>
          </w:p>
        </w:tc>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w:t>
            </w:r>
          </w:p>
        </w:tc>
        <w:tc>
          <w:tcPr>
            <w:tcW w:type="dxa" w:w="1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 Correct</w:t>
            </w:r>
          </w:p>
        </w:tc>
      </w:tr>
      <w:tr>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Ola Driver</w:t>
            </w:r>
          </w:p>
        </w:tc>
        <w:tc>
          <w:tcPr>
            <w:tcW w:type="dxa" w:w="28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com.olacabs.oladriver</w:t>
            </w:r>
          </w:p>
        </w:tc>
        <w:tc>
          <w:tcPr>
            <w:tcW w:type="dxa" w:w="28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w:t>
            </w:r>
          </w:p>
        </w:tc>
        <w:tc>
          <w:tcPr>
            <w:tcW w:type="dxa" w:w="14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 Correct</w:t>
            </w:r>
          </w:p>
        </w:tc>
      </w:tr>
      <w:tr>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Rapido Captain</w:t>
            </w:r>
          </w:p>
        </w:tc>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com.rapido.rider</w:t>
            </w:r>
          </w:p>
        </w:tc>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com.rapido.captain ❌</w:t>
            </w:r>
          </w:p>
        </w:tc>
        <w:tc>
          <w:tcPr>
            <w:tcW w:type="dxa" w:w="1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 Corrected v2.0</w:t>
            </w:r>
          </w:p>
        </w:tc>
      </w:tr>
      <w:tr>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Shadowfax</w:t>
            </w:r>
          </w:p>
        </w:tc>
        <w:tc>
          <w:tcPr>
            <w:tcW w:type="dxa" w:w="28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in.shadowfax.gandalf</w:t>
            </w:r>
          </w:p>
        </w:tc>
        <w:tc>
          <w:tcPr>
            <w:tcW w:type="dxa" w:w="28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com.shadowfax.driver ❌</w:t>
            </w:r>
          </w:p>
        </w:tc>
        <w:tc>
          <w:tcPr>
            <w:tcW w:type="dxa" w:w="14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 Corrected v2.0</w:t>
            </w:r>
          </w:p>
        </w:tc>
      </w:tr>
      <w:tr>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Namma Yatri</w:t>
            </w:r>
          </w:p>
        </w:tc>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com.nammayatri.partner</w:t>
            </w:r>
          </w:p>
        </w:tc>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w:t>
            </w:r>
          </w:p>
        </w:tc>
        <w:tc>
          <w:tcPr>
            <w:tcW w:type="dxa" w:w="1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 Planned — detection layer TBD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top"/>
          </w:tcPr>
          <w:p>
            <w:pPr>
              <w:spacing w:after="20" w:before="20"/>
            </w:pPr>
            <w:r>
              <w:rPr>
                <w:rFonts w:ascii="Arial" w:cs="Arial" w:eastAsia="Arial" w:hAnsi="Arial"/>
                <w:b/>
                <w:bCs/>
                <w:sz w:val="20"/>
                <w:szCs w:val="20"/>
              </w:rPr>
              <w:t xml:space="preserve">✏️</w:t>
            </w:r>
          </w:p>
        </w:tc>
        <w:tc>
          <w:tcPr>
            <w:tcW w:type="dxa" w:w="90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top"/>
          </w:tcPr>
          <w:p>
            <w:pPr>
              <w:spacing w:after="20" w:before="20"/>
            </w:pPr>
            <w:r>
              <w:rPr>
                <w:rFonts w:ascii="Arial" w:cs="Arial" w:eastAsia="Arial" w:hAnsi="Arial"/>
                <w:color w:val="166534"/>
                <w:sz w:val="18"/>
                <w:szCs w:val="18"/>
              </w:rPr>
              <w:t xml:space="preserve">v2.0 Fix: accessibility_service_config.xml now uses correct verified package names. Previous Profit Engine used com.rapido.captain (wrong) and com.shadowfax.driver (wrong). Both would have silently broken those platform integrations entirely.</w:t>
            </w:r>
          </w:p>
        </w:tc>
      </w:tr>
    </w:tbl>
    <w:p>
      <w:pPr>
        <w:spacing w:after="0" w:before="10"/>
      </w:pPr>
      <w:r>
        <w:rPr>
          <w:rFonts w:ascii="Arial" w:cs="Arial" w:eastAsia="Arial" w:hAnsi="Arial"/>
          <w:sz w:val="20"/>
          <w:szCs w:val="20"/>
        </w:rPr>
        <w:t xml:space="preserve"/>
      </w:r>
    </w:p>
    <w:p>
      <w:pPr>
        <w:shd w:fill="EFF6FF" w:val="clear"/>
        <w:spacing w:after="40" w:before="40"/>
        <w:ind w:left="360"/>
      </w:pPr>
      <w:r>
        <w:rPr>
          <w:rFonts w:ascii="Courier New" w:cs="Courier New" w:eastAsia="Courier New" w:hAnsi="Courier New"/>
          <w:color w:val="1E3A5F"/>
          <w:sz w:val="18"/>
          <w:szCs w:val="18"/>
        </w:rPr>
        <w:t xml:space="preserve">&lt;!-- accessibility_service_config.xml — v2.0 corrected package names --&gt;</w:t>
      </w:r>
    </w:p>
    <w:p>
      <w:pPr>
        <w:shd w:fill="EFF6FF" w:val="clear"/>
        <w:spacing w:after="40" w:before="40"/>
        <w:ind w:left="360"/>
      </w:pPr>
      <w:r>
        <w:rPr>
          <w:rFonts w:ascii="Courier New" w:cs="Courier New" w:eastAsia="Courier New" w:hAnsi="Courier New"/>
          <w:color w:val="1E3A5F"/>
          <w:sz w:val="18"/>
          <w:szCs w:val="18"/>
        </w:rPr>
        <w:t xml:space="preserve">&lt;accessibility-service</w:t>
      </w:r>
    </w:p>
    <w:p>
      <w:pPr>
        <w:shd w:fill="EFF6FF" w:val="clear"/>
        <w:spacing w:after="40" w:before="40"/>
        <w:ind w:left="360"/>
      </w:pPr>
      <w:r>
        <w:rPr>
          <w:rFonts w:ascii="Courier New" w:cs="Courier New" w:eastAsia="Courier New" w:hAnsi="Courier New"/>
          <w:color w:val="1E3A5F"/>
          <w:sz w:val="18"/>
          <w:szCs w:val="18"/>
        </w:rPr>
        <w:t xml:space="preserve">  android:accessibilityEventTypes='typeWindowStateChanged|typeWindowContentChanged'</w:t>
      </w:r>
    </w:p>
    <w:p>
      <w:pPr>
        <w:shd w:fill="EFF6FF" w:val="clear"/>
        <w:spacing w:after="40" w:before="40"/>
        <w:ind w:left="360"/>
      </w:pPr>
      <w:r>
        <w:rPr>
          <w:rFonts w:ascii="Courier New" w:cs="Courier New" w:eastAsia="Courier New" w:hAnsi="Courier New"/>
          <w:color w:val="1E3A5F"/>
          <w:sz w:val="18"/>
          <w:szCs w:val="18"/>
        </w:rPr>
        <w:t xml:space="preserve">  android:packageNames='com.ubercab.driver,com.olacabs.oladriver,com.rapido.rider,in.shadowfax.gandalf'</w:t>
      </w:r>
    </w:p>
    <w:p>
      <w:pPr>
        <w:shd w:fill="EFF6FF" w:val="clear"/>
        <w:spacing w:after="40" w:before="40"/>
        <w:ind w:left="360"/>
      </w:pPr>
      <w:r>
        <w:rPr>
          <w:rFonts w:ascii="Courier New" w:cs="Courier New" w:eastAsia="Courier New" w:hAnsi="Courier New"/>
          <w:color w:val="1E3A5F"/>
          <w:sz w:val="18"/>
          <w:szCs w:val="18"/>
        </w:rPr>
        <w:t xml:space="preserve">  android:accessibilityFeedbackType='feedbackGeneric'</w:t>
      </w:r>
    </w:p>
    <w:p>
      <w:pPr>
        <w:shd w:fill="EFF6FF" w:val="clear"/>
        <w:spacing w:after="40" w:before="40"/>
        <w:ind w:left="360"/>
      </w:pPr>
      <w:r>
        <w:rPr>
          <w:rFonts w:ascii="Courier New" w:cs="Courier New" w:eastAsia="Courier New" w:hAnsi="Courier New"/>
          <w:color w:val="1E3A5F"/>
          <w:sz w:val="18"/>
          <w:szCs w:val="18"/>
        </w:rPr>
        <w:t xml:space="preserve">  android:notificationTimeout='50'</w:t>
      </w:r>
    </w:p>
    <w:p>
      <w:pPr>
        <w:shd w:fill="EFF6FF" w:val="clear"/>
        <w:spacing w:after="40" w:before="40"/>
        <w:ind w:left="360"/>
      </w:pPr>
      <w:r>
        <w:rPr>
          <w:rFonts w:ascii="Courier New" w:cs="Courier New" w:eastAsia="Courier New" w:hAnsi="Courier New"/>
          <w:color w:val="1E3A5F"/>
          <w:sz w:val="18"/>
          <w:szCs w:val="18"/>
        </w:rPr>
        <w:t xml:space="preserve">  android:canRetrieveWindowContent='true'/&gt;</w:t>
      </w:r>
    </w:p>
    <w:p>
      <w:pPr>
        <w:shd w:fill="EFF6FF" w:val="clear"/>
        <w:spacing w:after="40" w:before="40"/>
        <w:ind w:left="360"/>
      </w:pPr>
      <w:r>
        <w:rPr>
          <w:rFonts w:ascii="Courier New" w:cs="Courier New" w:eastAsia="Courier New" w:hAnsi="Courier New"/>
          <w:color w:val="1E3A5F"/>
          <w:sz w:val="18"/>
          <w:szCs w:val="18"/>
        </w:rPr>
        <w:t xml:space="preserve"/>
      </w:r>
    </w:p>
    <w:p>
      <w:pPr>
        <w:shd w:fill="EFF6FF" w:val="clear"/>
        <w:spacing w:after="40" w:before="40"/>
        <w:ind w:left="360"/>
      </w:pPr>
      <w:r>
        <w:rPr>
          <w:rFonts w:ascii="Courier New" w:cs="Courier New" w:eastAsia="Courier New" w:hAnsi="Courier New"/>
          <w:color w:val="1E3A5F"/>
          <w:sz w:val="18"/>
          <w:szCs w:val="18"/>
        </w:rPr>
        <w:t xml:space="preserve">&lt;!-- NOTE: Namma Yatri (com.nammayatri.partner) excluded until popup detection --&gt;</w:t>
      </w:r>
    </w:p>
    <w:p>
      <w:pPr>
        <w:shd w:fill="EFF6FF" w:val="clear"/>
        <w:spacing w:after="40" w:before="40"/>
        <w:ind w:left="360"/>
      </w:pPr>
      <w:r>
        <w:rPr>
          <w:rFonts w:ascii="Courier New" w:cs="Courier New" w:eastAsia="Courier New" w:hAnsi="Courier New"/>
          <w:color w:val="1E3A5F"/>
          <w:sz w:val="18"/>
          <w:szCs w:val="18"/>
        </w:rPr>
        <w:t xml:space="preserve">&lt;!-- architecture is defined. Add when detection layer is built. --&gt;</w:t>
      </w:r>
    </w:p>
    <w:p>
      <w:pPr>
        <w:spacing w:after="100" w:before="280"/>
      </w:pPr>
      <w:r>
        <w:rPr>
          <w:rFonts w:ascii="Arial" w:cs="Arial" w:eastAsia="Arial" w:hAnsi="Arial"/>
          <w:b/>
          <w:bCs/>
          <w:color w:val="1A4F7A"/>
          <w:sz w:val="28"/>
          <w:szCs w:val="28"/>
        </w:rPr>
        <w:t xml:space="preserve">6.5 SessionTracker — Subscription Amortisation</w:t>
      </w:r>
    </w:p>
    <w:p>
      <w:pPr>
        <w:spacing w:after="60" w:before="60"/>
      </w:pPr>
      <w:r>
        <w:rPr>
          <w:rFonts w:ascii="Arial" w:cs="Arial" w:eastAsia="Arial" w:hAnsi="Arial"/>
          <w:sz w:val="20"/>
          <w:szCs w:val="20"/>
        </w:rPr>
        <w:t xml:space="preserve">The SessionTracker module maintains daily session state to correctly amortise flat subscription fees across completed trips. Without this, subscription drivers would receive an incorrect (too low) GrossFare on every ride.</w:t>
      </w:r>
    </w:p>
    <w:p>
      <w:pPr>
        <w:spacing w:after="0" w:before="10"/>
      </w:pPr>
      <w:r>
        <w:rPr>
          <w:rFonts w:ascii="Arial" w:cs="Arial" w:eastAsia="Arial" w:hAnsi="Arial"/>
          <w:sz w:val="20"/>
          <w:szCs w:val="20"/>
        </w:rPr>
        <w:t xml:space="preserve"/>
      </w:r>
    </w:p>
    <w:p>
      <w:pPr>
        <w:shd w:fill="EFF6FF" w:val="clear"/>
        <w:spacing w:after="40" w:before="40"/>
        <w:ind w:left="360"/>
      </w:pPr>
      <w:r>
        <w:rPr>
          <w:rFonts w:ascii="Courier New" w:cs="Courier New" w:eastAsia="Courier New" w:hAnsi="Courier New"/>
          <w:color w:val="1E3A5F"/>
          <w:sz w:val="18"/>
          <w:szCs w:val="18"/>
        </w:rPr>
        <w:t xml:space="preserve">class SessionTracker(private val prefs: SharedPreferences) {</w:t>
      </w:r>
    </w:p>
    <w:p>
      <w:pPr>
        <w:shd w:fill="EFF6FF" w:val="clear"/>
        <w:spacing w:after="40" w:before="40"/>
        <w:ind w:left="360"/>
      </w:pPr>
      <w:r>
        <w:rPr>
          <w:rFonts w:ascii="Courier New" w:cs="Courier New" w:eastAsia="Courier New" w:hAnsi="Courier New"/>
          <w:color w:val="1E3A5F"/>
          <w:sz w:val="18"/>
          <w:szCs w:val="18"/>
        </w:rPr>
        <w:t xml:space="preserve"/>
      </w:r>
    </w:p>
    <w:p>
      <w:pPr>
        <w:shd w:fill="EFF6FF" w:val="clear"/>
        <w:spacing w:after="40" w:before="40"/>
        <w:ind w:left="360"/>
      </w:pPr>
      <w:r>
        <w:rPr>
          <w:rFonts w:ascii="Courier New" w:cs="Courier New" w:eastAsia="Courier New" w:hAnsi="Courier New"/>
          <w:color w:val="1E3A5F"/>
          <w:sz w:val="18"/>
          <w:szCs w:val="18"/>
        </w:rPr>
        <w:t xml:space="preserve">  // Resets at midnight or when driver explicitly starts a new shift</w:t>
      </w:r>
    </w:p>
    <w:p>
      <w:pPr>
        <w:shd w:fill="EFF6FF" w:val="clear"/>
        <w:spacing w:after="40" w:before="40"/>
        <w:ind w:left="360"/>
      </w:pPr>
      <w:r>
        <w:rPr>
          <w:rFonts w:ascii="Courier New" w:cs="Courier New" w:eastAsia="Courier New" w:hAnsi="Courier New"/>
          <w:color w:val="1E3A5F"/>
          <w:sz w:val="18"/>
          <w:szCs w:val="18"/>
        </w:rPr>
        <w:t xml:space="preserve">  fun startSession() {</w:t>
      </w:r>
    </w:p>
    <w:p>
      <w:pPr>
        <w:shd w:fill="EFF6FF" w:val="clear"/>
        <w:spacing w:after="40" w:before="40"/>
        <w:ind w:left="360"/>
      </w:pPr>
      <w:r>
        <w:rPr>
          <w:rFonts w:ascii="Courier New" w:cs="Courier New" w:eastAsia="Courier New" w:hAnsi="Courier New"/>
          <w:color w:val="1E3A5F"/>
          <w:sz w:val="18"/>
          <w:szCs w:val="18"/>
        </w:rPr>
        <w:t xml:space="preserve">    prefs.edit().putLong(KEY_SESSION_START, System.currentTimeMillis())</w:t>
      </w:r>
    </w:p>
    <w:p>
      <w:pPr>
        <w:shd w:fill="EFF6FF" w:val="clear"/>
        <w:spacing w:after="40" w:before="40"/>
        <w:ind w:left="360"/>
      </w:pPr>
      <w:r>
        <w:rPr>
          <w:rFonts w:ascii="Courier New" w:cs="Courier New" w:eastAsia="Courier New" w:hAnsi="Courier New"/>
          <w:color w:val="1E3A5F"/>
          <w:sz w:val="18"/>
          <w:szCs w:val="18"/>
        </w:rPr>
        <w:t xml:space="preserve">               .putInt(KEY_COMPLETED_RIDES, 0).apply()</w:t>
      </w:r>
    </w:p>
    <w:p>
      <w:pPr>
        <w:shd w:fill="EFF6FF" w:val="clear"/>
        <w:spacing w:after="40" w:before="40"/>
        <w:ind w:left="360"/>
      </w:pPr>
      <w:r>
        <w:rPr>
          <w:rFonts w:ascii="Courier New" w:cs="Courier New" w:eastAsia="Courier New" w:hAnsi="Courier New"/>
          <w:color w:val="1E3A5F"/>
          <w:sz w:val="18"/>
          <w:szCs w:val="18"/>
        </w:rPr>
        <w:t xml:space="preserve">  }</w:t>
      </w:r>
    </w:p>
    <w:p>
      <w:pPr>
        <w:shd w:fill="EFF6FF" w:val="clear"/>
        <w:spacing w:after="40" w:before="40"/>
        <w:ind w:left="360"/>
      </w:pPr>
      <w:r>
        <w:rPr>
          <w:rFonts w:ascii="Courier New" w:cs="Courier New" w:eastAsia="Courier New" w:hAnsi="Courier New"/>
          <w:color w:val="1E3A5F"/>
          <w:sz w:val="18"/>
          <w:szCs w:val="18"/>
        </w:rPr>
        <w:t xml:space="preserve"/>
      </w:r>
    </w:p>
    <w:p>
      <w:pPr>
        <w:shd w:fill="EFF6FF" w:val="clear"/>
        <w:spacing w:after="40" w:before="40"/>
        <w:ind w:left="360"/>
      </w:pPr>
      <w:r>
        <w:rPr>
          <w:rFonts w:ascii="Courier New" w:cs="Courier New" w:eastAsia="Courier New" w:hAnsi="Courier New"/>
          <w:color w:val="1E3A5F"/>
          <w:sz w:val="18"/>
          <w:szCs w:val="18"/>
        </w:rPr>
        <w:t xml:space="preserve">  fun onRideCompleted() {</w:t>
      </w:r>
    </w:p>
    <w:p>
      <w:pPr>
        <w:shd w:fill="EFF6FF" w:val="clear"/>
        <w:spacing w:after="40" w:before="40"/>
        <w:ind w:left="360"/>
      </w:pPr>
      <w:r>
        <w:rPr>
          <w:rFonts w:ascii="Courier New" w:cs="Courier New" w:eastAsia="Courier New" w:hAnsi="Courier New"/>
          <w:color w:val="1E3A5F"/>
          <w:sz w:val="18"/>
          <w:szCs w:val="18"/>
        </w:rPr>
        <w:t xml:space="preserve">    val count = prefs.getInt(KEY_COMPLETED_RIDES, 0)</w:t>
      </w:r>
    </w:p>
    <w:p>
      <w:pPr>
        <w:shd w:fill="EFF6FF" w:val="clear"/>
        <w:spacing w:after="40" w:before="40"/>
        <w:ind w:left="360"/>
      </w:pPr>
      <w:r>
        <w:rPr>
          <w:rFonts w:ascii="Courier New" w:cs="Courier New" w:eastAsia="Courier New" w:hAnsi="Courier New"/>
          <w:color w:val="1E3A5F"/>
          <w:sz w:val="18"/>
          <w:szCs w:val="18"/>
        </w:rPr>
        <w:t xml:space="preserve">    prefs.edit().putInt(KEY_COMPLETED_RIDES, count + 1).apply()</w:t>
      </w:r>
    </w:p>
    <w:p>
      <w:pPr>
        <w:shd w:fill="EFF6FF" w:val="clear"/>
        <w:spacing w:after="40" w:before="40"/>
        <w:ind w:left="360"/>
      </w:pPr>
      <w:r>
        <w:rPr>
          <w:rFonts w:ascii="Courier New" w:cs="Courier New" w:eastAsia="Courier New" w:hAnsi="Courier New"/>
          <w:color w:val="1E3A5F"/>
          <w:sz w:val="18"/>
          <w:szCs w:val="18"/>
        </w:rPr>
        <w:t xml:space="preserve">  }</w:t>
      </w:r>
    </w:p>
    <w:p>
      <w:pPr>
        <w:shd w:fill="EFF6FF" w:val="clear"/>
        <w:spacing w:after="40" w:before="40"/>
        <w:ind w:left="360"/>
      </w:pPr>
      <w:r>
        <w:rPr>
          <w:rFonts w:ascii="Courier New" w:cs="Courier New" w:eastAsia="Courier New" w:hAnsi="Courier New"/>
          <w:color w:val="1E3A5F"/>
          <w:sz w:val="18"/>
          <w:szCs w:val="18"/>
        </w:rPr>
        <w:t xml:space="preserve"/>
      </w:r>
    </w:p>
    <w:p>
      <w:pPr>
        <w:shd w:fill="EFF6FF" w:val="clear"/>
        <w:spacing w:after="40" w:before="40"/>
        <w:ind w:left="360"/>
      </w:pPr>
      <w:r>
        <w:rPr>
          <w:rFonts w:ascii="Courier New" w:cs="Courier New" w:eastAsia="Courier New" w:hAnsi="Courier New"/>
          <w:color w:val="1E3A5F"/>
          <w:sz w:val="18"/>
          <w:szCs w:val="18"/>
        </w:rPr>
        <w:t xml:space="preserve">  // Called by Profit Engine at evaluation time</w:t>
      </w:r>
    </w:p>
    <w:p>
      <w:pPr>
        <w:shd w:fill="EFF6FF" w:val="clear"/>
        <w:spacing w:after="40" w:before="40"/>
        <w:ind w:left="360"/>
      </w:pPr>
      <w:r>
        <w:rPr>
          <w:rFonts w:ascii="Courier New" w:cs="Courier New" w:eastAsia="Courier New" w:hAnsi="Courier New"/>
          <w:color w:val="1E3A5F"/>
          <w:sz w:val="18"/>
          <w:szCs w:val="18"/>
        </w:rPr>
        <w:t xml:space="preserve">  fun subscriptionAmortisedPerTrip(): Double {</w:t>
      </w:r>
    </w:p>
    <w:p>
      <w:pPr>
        <w:shd w:fill="EFF6FF" w:val="clear"/>
        <w:spacing w:after="40" w:before="40"/>
        <w:ind w:left="360"/>
      </w:pPr>
      <w:r>
        <w:rPr>
          <w:rFonts w:ascii="Courier New" w:cs="Courier New" w:eastAsia="Courier New" w:hAnsi="Courier New"/>
          <w:color w:val="1E3A5F"/>
          <w:sz w:val="18"/>
          <w:szCs w:val="18"/>
        </w:rPr>
        <w:t xml:space="preserve">    val completed = prefs.getInt(KEY_COMPLETED_RIDES, 0)</w:t>
      </w:r>
    </w:p>
    <w:p>
      <w:pPr>
        <w:shd w:fill="EFF6FF" w:val="clear"/>
        <w:spacing w:after="40" w:before="40"/>
        <w:ind w:left="360"/>
      </w:pPr>
      <w:r>
        <w:rPr>
          <w:rFonts w:ascii="Courier New" w:cs="Courier New" w:eastAsia="Courier New" w:hAnsi="Courier New"/>
          <w:color w:val="1E3A5F"/>
          <w:sz w:val="18"/>
          <w:szCs w:val="18"/>
        </w:rPr>
        <w:t xml:space="preserve">    val sessionHrs = elapsedSessionHours()</w:t>
      </w:r>
    </w:p>
    <w:p>
      <w:pPr>
        <w:shd w:fill="EFF6FF" w:val="clear"/>
        <w:spacing w:after="40" w:before="40"/>
        <w:ind w:left="360"/>
      </w:pPr>
      <w:r>
        <w:rPr>
          <w:rFonts w:ascii="Courier New" w:cs="Courier New" w:eastAsia="Courier New" w:hAnsi="Courier New"/>
          <w:color w:val="1E3A5F"/>
          <w:sz w:val="18"/>
          <w:szCs w:val="18"/>
        </w:rPr>
        <w:t xml:space="preserve">    // Estimate remaining rides for the shift based on current pace</w:t>
      </w:r>
    </w:p>
    <w:p>
      <w:pPr>
        <w:shd w:fill="EFF6FF" w:val="clear"/>
        <w:spacing w:after="40" w:before="40"/>
        <w:ind w:left="360"/>
      </w:pPr>
      <w:r>
        <w:rPr>
          <w:rFonts w:ascii="Courier New" w:cs="Courier New" w:eastAsia="Courier New" w:hAnsi="Courier New"/>
          <w:color w:val="1E3A5F"/>
          <w:sz w:val="18"/>
          <w:szCs w:val="18"/>
        </w:rPr>
        <w:t xml:space="preserve">    val pace = if (sessionHrs &gt; 0) completed / sessionHrs else 3.0  // default 3 rides/hr</w:t>
      </w:r>
    </w:p>
    <w:p>
      <w:pPr>
        <w:shd w:fill="EFF6FF" w:val="clear"/>
        <w:spacing w:after="40" w:before="40"/>
        <w:ind w:left="360"/>
      </w:pPr>
      <w:r>
        <w:rPr>
          <w:rFonts w:ascii="Courier New" w:cs="Courier New" w:eastAsia="Courier New" w:hAnsi="Courier New"/>
          <w:color w:val="1E3A5F"/>
          <w:sz w:val="18"/>
          <w:szCs w:val="18"/>
        </w:rPr>
        <w:t xml:space="preserve">    val remainingHrsInShift = (TARGET_SHIFT_HOURS - sessionHrs).coerceAtLeast(0.5)</w:t>
      </w:r>
    </w:p>
    <w:p>
      <w:pPr>
        <w:shd w:fill="EFF6FF" w:val="clear"/>
        <w:spacing w:after="40" w:before="40"/>
        <w:ind w:left="360"/>
      </w:pPr>
      <w:r>
        <w:rPr>
          <w:rFonts w:ascii="Courier New" w:cs="Courier New" w:eastAsia="Courier New" w:hAnsi="Courier New"/>
          <w:color w:val="1E3A5F"/>
          <w:sz w:val="18"/>
          <w:szCs w:val="18"/>
        </w:rPr>
        <w:t xml:space="preserve">    val projectedTotal = completed + (pace * remainingHrsInShift).toInt()</w:t>
      </w:r>
    </w:p>
    <w:p>
      <w:pPr>
        <w:shd w:fill="EFF6FF" w:val="clear"/>
        <w:spacing w:after="40" w:before="40"/>
        <w:ind w:left="360"/>
      </w:pPr>
      <w:r>
        <w:rPr>
          <w:rFonts w:ascii="Courier New" w:cs="Courier New" w:eastAsia="Courier New" w:hAnsi="Courier New"/>
          <w:color w:val="1E3A5F"/>
          <w:sz w:val="18"/>
          <w:szCs w:val="18"/>
        </w:rPr>
        <w:t xml:space="preserve">    val totalRides = projectedTotal.coerceAtLeast(1)</w:t>
      </w:r>
    </w:p>
    <w:p>
      <w:pPr>
        <w:shd w:fill="EFF6FF" w:val="clear"/>
        <w:spacing w:after="40" w:before="40"/>
        <w:ind w:left="360"/>
      </w:pPr>
      <w:r>
        <w:rPr>
          <w:rFonts w:ascii="Courier New" w:cs="Courier New" w:eastAsia="Courier New" w:hAnsi="Courier New"/>
          <w:color w:val="1E3A5F"/>
          <w:sz w:val="18"/>
          <w:szCs w:val="18"/>
        </w:rPr>
        <w:t xml:space="preserve">    return dailySubscriptionFee / totalRides</w:t>
      </w:r>
    </w:p>
    <w:p>
      <w:pPr>
        <w:shd w:fill="EFF6FF" w:val="clear"/>
        <w:spacing w:after="40" w:before="40"/>
        <w:ind w:left="360"/>
      </w:pPr>
      <w:r>
        <w:rPr>
          <w:rFonts w:ascii="Courier New" w:cs="Courier New" w:eastAsia="Courier New" w:hAnsi="Courier New"/>
          <w:color w:val="1E3A5F"/>
          <w:sz w:val="18"/>
          <w:szCs w:val="18"/>
        </w:rPr>
        <w:t xml:space="preserve">  }</w:t>
      </w:r>
    </w:p>
    <w:p>
      <w:pPr>
        <w:shd w:fill="EFF6FF" w:val="clear"/>
        <w:spacing w:after="40" w:before="40"/>
        <w:ind w:left="360"/>
      </w:pPr>
      <w:r>
        <w:rPr>
          <w:rFonts w:ascii="Courier New" w:cs="Courier New" w:eastAsia="Courier New" w:hAnsi="Courier New"/>
          <w:color w:val="1E3A5F"/>
          <w:sz w:val="18"/>
          <w:szCs w:val="18"/>
        </w:rPr>
        <w:t xml:space="preserve">}</w:t>
      </w:r>
    </w:p>
    <w:p>
      <w:r>
        <w:br w:type="page"/>
      </w:r>
    </w:p>
    <w:p>
      <w:pPr>
        <w:pBdr>
          <w:top w:val="none" w:color="FFFFFF" w:sz="0"/>
          <w:bottom w:val="single" w:color="1A4F7A" w:sz="8" w:space="1"/>
          <w:left w:val="none" w:color="FFFFFF" w:sz="0"/>
          <w:right w:val="none" w:color="FFFFFF" w:sz="0"/>
        </w:pBdr>
        <w:spacing w:after="120" w:before="400"/>
      </w:pPr>
      <w:r>
        <w:rPr>
          <w:rFonts w:ascii="Arial" w:cs="Arial" w:eastAsia="Arial" w:hAnsi="Arial"/>
          <w:b/>
          <w:bCs/>
          <w:color w:val="0D2137"/>
          <w:sz w:val="36"/>
          <w:szCs w:val="36"/>
        </w:rPr>
        <w:t xml:space="preserve">7. Predictive Optimisation &amp; Advanced Features</w:t>
      </w:r>
    </w:p>
    <w:p>
      <w:pPr>
        <w:spacing w:after="100" w:before="280"/>
      </w:pPr>
      <w:r>
        <w:rPr>
          <w:rFonts w:ascii="Arial" w:cs="Arial" w:eastAsia="Arial" w:hAnsi="Arial"/>
          <w:b/>
          <w:bCs/>
          <w:color w:val="1A4F7A"/>
          <w:sz w:val="28"/>
          <w:szCs w:val="28"/>
        </w:rPr>
        <w:t xml:space="preserve">7.1 Zone Heat Index — Lightweight Demand Model (MVP)</w:t>
      </w:r>
    </w:p>
    <w:p>
      <w:pPr>
        <w:spacing w:after="60" w:before="60"/>
      </w:pPr>
      <w:r>
        <w:rPr>
          <w:rFonts w:ascii="Arial" w:cs="Arial" w:eastAsia="Arial" w:hAnsi="Arial"/>
          <w:sz w:val="20"/>
          <w:szCs w:val="20"/>
        </w:rPr>
        <w:t xml:space="preserve">For production MVP, zone demand is modelled as a pre-computed lookup table — not a full GNN/NARXNN. This delivers the required S6 input within the 5ms scoring budget and 300ms total latency constraint. A GNN upgrade path is documented for v3.0.</w:t>
      </w:r>
    </w:p>
    <w:p>
      <w:pPr>
        <w:spacing w:after="0" w:before="1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3240"/>
        <w:gridCol w:w="3240"/>
      </w:tblGrid>
      <w:tr>
        <w:tc>
          <w:tcPr>
            <w:tcW w:type="dxa" w:w="2880"/>
            <w:tcBorders>
              <w:top w:val="single" w:color="D1D5DB" w:sz="1"/>
              <w:left w:val="single" w:color="D1D5DB" w:sz="1"/>
              <w:bottom w:val="single" w:color="D1D5DB" w:sz="1"/>
              <w:right w:val="single" w:color="D1D5DB" w:sz="1"/>
            </w:tcBorders>
            <w:shd w:fill="0D2137"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Approach</w:t>
            </w:r>
          </w:p>
        </w:tc>
        <w:tc>
          <w:tcPr>
            <w:tcW w:type="dxa" w:w="3240"/>
            <w:tcBorders>
              <w:top w:val="single" w:color="D1D5DB" w:sz="1"/>
              <w:left w:val="single" w:color="D1D5DB" w:sz="1"/>
              <w:bottom w:val="single" w:color="D1D5DB" w:sz="1"/>
              <w:right w:val="single" w:color="D1D5DB" w:sz="1"/>
            </w:tcBorders>
            <w:shd w:fill="0D2137"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MVP (v2.0)</w:t>
            </w:r>
          </w:p>
        </w:tc>
        <w:tc>
          <w:tcPr>
            <w:tcW w:type="dxa" w:w="3240"/>
            <w:tcBorders>
              <w:top w:val="single" w:color="D1D5DB" w:sz="1"/>
              <w:left w:val="single" w:color="D1D5DB" w:sz="1"/>
              <w:bottom w:val="single" w:color="D1D5DB" w:sz="1"/>
              <w:right w:val="single" w:color="D1D5DB" w:sz="1"/>
            </w:tcBorders>
            <w:shd w:fill="0D2137"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Future (v3.0)</w:t>
            </w:r>
          </w:p>
        </w:tc>
      </w:tr>
      <w:tr>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Model type</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Lookup table: hour × zone → heat index</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GNN + NARXNN (TFLite INT8 quantised)</w:t>
            </w:r>
          </w:p>
        </w:tc>
      </w:tr>
      <w:tr>
        <w:tc>
          <w:tcPr>
            <w:tcW w:type="dxa" w:w="28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Input features</w:t>
            </w:r>
          </w:p>
        </w:tc>
        <w:tc>
          <w:tcPr>
            <w:tcW w:type="dxa" w:w="32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Hour of day, day of week, zone ID, festival flag</w:t>
            </w:r>
          </w:p>
        </w:tc>
        <w:tc>
          <w:tcPr>
            <w:tcW w:type="dxa" w:w="32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All MVP inputs + traffic sensor feeds</w:t>
            </w:r>
          </w:p>
        </w:tc>
      </w:tr>
      <w:tr>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Update frequency</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Refreshed from CDN every 24hr</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Inference every 5 min, on-device only</w:t>
            </w:r>
          </w:p>
        </w:tc>
      </w:tr>
      <w:tr>
        <w:tc>
          <w:tcPr>
            <w:tcW w:type="dxa" w:w="28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Model size</w:t>
            </w:r>
          </w:p>
        </w:tc>
        <w:tc>
          <w:tcPr>
            <w:tcW w:type="dxa" w:w="32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&lt; 100KB JSON</w:t>
            </w:r>
          </w:p>
        </w:tc>
        <w:tc>
          <w:tcPr>
            <w:tcW w:type="dxa" w:w="32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~8–15MB TFLite model (post-quantisation)</w:t>
            </w:r>
          </w:p>
        </w:tc>
      </w:tr>
      <w:tr>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Inference time</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&lt; 1ms (hash lookup)</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&lt; 50ms (TFLite delegate)</w:t>
            </w:r>
          </w:p>
        </w:tc>
      </w:tr>
      <w:tr>
        <w:tc>
          <w:tcPr>
            <w:tcW w:type="dxa" w:w="28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Privacy</w:t>
            </w:r>
          </w:p>
        </w:tc>
        <w:tc>
          <w:tcPr>
            <w:tcW w:type="dxa" w:w="32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No GPS transmitted</w:t>
            </w:r>
          </w:p>
        </w:tc>
        <w:tc>
          <w:tcPr>
            <w:tcW w:type="dxa" w:w="32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100% on-device inference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top"/>
          </w:tcPr>
          <w:p>
            <w:pPr>
              <w:spacing w:after="20" w:before="20"/>
            </w:pPr>
            <w:r>
              <w:rPr>
                <w:rFonts w:ascii="Arial" w:cs="Arial" w:eastAsia="Arial" w:hAnsi="Arial"/>
                <w:b/>
                <w:bCs/>
                <w:sz w:val="20"/>
                <w:szCs w:val="20"/>
              </w:rPr>
              <w:t xml:space="preserve">✏️</w:t>
            </w:r>
          </w:p>
        </w:tc>
        <w:tc>
          <w:tcPr>
            <w:tcW w:type="dxa" w:w="90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top"/>
          </w:tcPr>
          <w:p>
            <w:pPr>
              <w:spacing w:after="20" w:before="20"/>
            </w:pPr>
            <w:r>
              <w:rPr>
                <w:rFonts w:ascii="Arial" w:cs="Arial" w:eastAsia="Arial" w:hAnsi="Arial"/>
                <w:color w:val="166534"/>
                <w:sz w:val="18"/>
                <w:szCs w:val="18"/>
              </w:rPr>
              <w:t xml:space="preserve">v2.0 Fix: GNN/NARXNN from previous spec was architecturally infeasible within the 300ms scoring budget and contradicted the 'zero data transmitted' privacy claim. MVP uses a lightweight lookup table. v3.0 will add quantised TFLite model with explicit size/latency benchmarks.</w:t>
            </w:r>
          </w:p>
        </w:tc>
      </w:tr>
    </w:tbl>
    <w:p>
      <w:pPr>
        <w:spacing w:after="100" w:before="280"/>
      </w:pPr>
      <w:r>
        <w:rPr>
          <w:rFonts w:ascii="Arial" w:cs="Arial" w:eastAsia="Arial" w:hAnsi="Arial"/>
          <w:b/>
          <w:bCs/>
          <w:color w:val="1A4F7A"/>
          <w:sz w:val="28"/>
          <w:szCs w:val="28"/>
        </w:rPr>
        <w:t xml:space="preserve">7.2 Markov Decision Process for Opportunity Cost (S6)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4F7A" w:sz="1"/>
              <w:left w:val="single" w:color="1A4F7A" w:sz="1"/>
              <w:bottom w:val="single" w:color="1A4F7A" w:sz="1"/>
              <w:right w:val="single" w:color="1A4F7A" w:sz="1"/>
            </w:tcBorders>
            <w:shd w:fill="D0E4F5" w:val="clear"/>
            <w:tcMar>
              <w:top w:type="dxa" w:w="80"/>
              <w:left w:type="dxa" w:w="200"/>
              <w:bottom w:type="dxa" w:w="20"/>
              <w:right w:type="dxa" w:w="200"/>
            </w:tcMar>
          </w:tcPr>
          <w:p>
            <w:pPr>
              <w:spacing w:after="20" w:before="20"/>
            </w:pPr>
            <w:r>
              <w:rPr>
                <w:rFonts w:ascii="Arial" w:cs="Arial" w:eastAsia="Arial" w:hAnsi="Arial"/>
                <w:b/>
                <w:bCs/>
                <w:color w:val="1A4F7A"/>
                <w:sz w:val="18"/>
                <w:szCs w:val="18"/>
              </w:rPr>
              <w:t xml:space="preserve">Opportunity Cost Score (S6)</w:t>
            </w:r>
          </w:p>
        </w:tc>
      </w:tr>
      <w:tr>
        <w:tc>
          <w:tcPr>
            <w:tcW w:type="dxa" w:w="9360"/>
            <w:tcBorders>
              <w:top w:val="single" w:color="1A4F7A" w:sz="1"/>
              <w:left w:val="single" w:color="1A4F7A" w:sz="1"/>
              <w:bottom w:val="single" w:color="1A4F7A" w:sz="1"/>
              <w:right w:val="single" w:color="1A4F7A" w:sz="1"/>
            </w:tcBorders>
            <w:shd w:fill="FFFFFF" w:val="clear"/>
            <w:tcMar>
              <w:top w:type="dxa" w:w="100"/>
              <w:left w:type="dxa" w:w="200"/>
              <w:bottom w:type="dxa" w:w="100"/>
              <w:right w:type="dxa" w:w="200"/>
            </w:tcMar>
          </w:tcPr>
          <w:p>
            <w:pPr>
              <w:spacing w:after="20" w:before="20"/>
            </w:pPr>
            <w:r>
              <w:rPr>
                <w:rFonts w:ascii="Courier New" w:cs="Courier New" w:eastAsia="Courier New" w:hAnsi="Courier New"/>
                <w:b/>
                <w:bCs/>
                <w:color w:val="1E3A5F"/>
                <w:sz w:val="22"/>
                <w:szCs w:val="22"/>
              </w:rPr>
              <w:t xml:space="preserve">S6 = clamp(100 − (ZoneHeatIndex × (1 − IdleUrgency)), 0, 100)</w:t>
            </w:r>
          </w:p>
        </w:tc>
      </w:tr>
      <w:tr>
        <w:tc>
          <w:tcPr>
            <w:tcW w:type="dxa" w:w="9360"/>
            <w:tcBorders>
              <w:top w:val="single" w:color="1A4F7A" w:sz="1"/>
              <w:left w:val="single" w:color="1A4F7A" w:sz="1"/>
              <w:bottom w:val="single" w:color="1A4F7A" w:sz="1"/>
              <w:right w:val="single" w:color="1A4F7A" w:sz="1"/>
            </w:tcBorders>
            <w:shd w:fill="EFF6FF" w:val="clear"/>
            <w:tcMar>
              <w:top w:type="dxa" w:w="60"/>
              <w:left w:type="dxa" w:w="200"/>
              <w:bottom w:type="dxa" w:w="60"/>
              <w:right w:type="dxa" w:w="200"/>
            </w:tcMar>
          </w:tcPr>
          <w:p>
            <w:pPr>
              <w:spacing w:after="20" w:before="20"/>
            </w:pPr>
            <w:r>
              <w:rPr>
                <w:rFonts w:ascii="Arial" w:cs="Arial" w:eastAsia="Arial" w:hAnsi="Arial"/>
                <w:i/>
                <w:iCs/>
                <w:color w:val="374151"/>
                <w:sz w:val="18"/>
                <w:szCs w:val="18"/>
              </w:rPr>
              <w:t xml:space="preserve">IdleUrgency = clamp(idleMinutes ÷ 5.0, 0.0, 1.0). High zone heat + low idle time = high opportunity cost → lower S6 → accept only GREEN rides.</w:t>
            </w:r>
          </w:p>
        </w:tc>
      </w:tr>
    </w:tbl>
    <w:p>
      <w:pPr>
        <w:spacing w:after="100" w:before="280"/>
      </w:pPr>
      <w:r>
        <w:rPr>
          <w:rFonts w:ascii="Arial" w:cs="Arial" w:eastAsia="Arial" w:hAnsi="Arial"/>
          <w:b/>
          <w:bCs/>
          <w:color w:val="1A4F7A"/>
          <w:sz w:val="28"/>
          <w:szCs w:val="28"/>
        </w:rPr>
        <w:t xml:space="preserve">7.3 Reinforcement Learning for Relocation Advice</w:t>
      </w:r>
    </w:p>
    <w:p>
      <w:pPr>
        <w:pStyle w:val="ListParagraph"/>
        <w:numPr>
          <w:ilvl w:val="0"/>
          <w:numId w:val="2"/>
        </w:numPr>
        <w:spacing w:after="40" w:before="40"/>
      </w:pPr>
      <w:r>
        <w:rPr>
          <w:rFonts w:ascii="Arial" w:cs="Arial" w:eastAsia="Arial" w:hAnsi="Arial"/>
          <w:b/>
          <w:bCs/>
          <w:sz w:val="20"/>
          <w:szCs w:val="20"/>
        </w:rPr>
        <w:t xml:space="preserve">Trigger: Idle time &gt; 10 minutes</w:t>
      </w:r>
    </w:p>
    <w:p>
      <w:pPr>
        <w:pStyle w:val="ListParagraph"/>
        <w:numPr>
          <w:ilvl w:val="0"/>
          <w:numId w:val="2"/>
        </w:numPr>
        <w:spacing w:after="40" w:before="40"/>
      </w:pPr>
      <w:r>
        <w:rPr>
          <w:rFonts w:ascii="Arial" w:cs="Arial" w:eastAsia="Arial" w:hAnsi="Arial"/>
          <w:b w:val="false"/>
          <w:bCs w:val="false"/>
          <w:sz w:val="20"/>
          <w:szCs w:val="20"/>
        </w:rPr>
        <w:t xml:space="preserve">Model: Q-learning agent trained on local historical ride data (on-device)</w:t>
      </w:r>
    </w:p>
    <w:p>
      <w:pPr>
        <w:pStyle w:val="ListParagraph"/>
        <w:numPr>
          <w:ilvl w:val="0"/>
          <w:numId w:val="2"/>
        </w:numPr>
        <w:spacing w:after="40" w:before="40"/>
      </w:pPr>
      <w:r>
        <w:rPr>
          <w:rFonts w:ascii="Arial" w:cs="Arial" w:eastAsia="Arial" w:hAnsi="Arial"/>
          <w:b w:val="false"/>
          <w:bCs w:val="false"/>
          <w:sz w:val="20"/>
          <w:szCs w:val="20"/>
        </w:rPr>
        <w:t xml:space="preserve">Output: Directional advice — e.g. 'Move 2.5 km east — 87% demand probability in 8 min'</w:t>
      </w:r>
    </w:p>
    <w:p>
      <w:pPr>
        <w:pStyle w:val="ListParagraph"/>
        <w:numPr>
          <w:ilvl w:val="0"/>
          <w:numId w:val="2"/>
        </w:numPr>
        <w:spacing w:after="40" w:before="40"/>
      </w:pPr>
      <w:r>
        <w:rPr>
          <w:rFonts w:ascii="Arial" w:cs="Arial" w:eastAsia="Arial" w:hAnsi="Arial"/>
          <w:b w:val="false"/>
          <w:bCs w:val="false"/>
          <w:sz w:val="20"/>
          <w:szCs w:val="20"/>
        </w:rPr>
        <w:t xml:space="preserve">Privacy: All training and inference on-device. No GPS or ride data transmitted to any server.</w:t>
      </w:r>
    </w:p>
    <w:p>
      <w:pPr>
        <w:spacing w:after="100" w:before="280"/>
      </w:pPr>
      <w:r>
        <w:rPr>
          <w:rFonts w:ascii="Arial" w:cs="Arial" w:eastAsia="Arial" w:hAnsi="Arial"/>
          <w:b/>
          <w:bCs/>
          <w:color w:val="1A4F7A"/>
          <w:sz w:val="28"/>
          <w:szCs w:val="28"/>
        </w:rPr>
        <w:t xml:space="preserve">7.4 On-Device Personalised Weight Tuning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D1D5DB" w:sz="1"/>
              <w:left w:val="single" w:color="D1D5DB" w:sz="1"/>
              <w:bottom w:val="single" w:color="D1D5DB" w:sz="1"/>
              <w:right w:val="single" w:color="D1D5DB" w:sz="1"/>
            </w:tcBorders>
            <w:shd w:fill="0D2137"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Aspect</w:t>
            </w:r>
          </w:p>
        </w:tc>
        <w:tc>
          <w:tcPr>
            <w:tcW w:type="dxa" w:w="6480"/>
            <w:tcBorders>
              <w:top w:val="single" w:color="D1D5DB" w:sz="1"/>
              <w:left w:val="single" w:color="D1D5DB" w:sz="1"/>
              <w:bottom w:val="single" w:color="D1D5DB" w:sz="1"/>
              <w:right w:val="single" w:color="D1D5DB" w:sz="1"/>
            </w:tcBorders>
            <w:shd w:fill="0D2137"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Detail</w:t>
            </w:r>
          </w:p>
        </w:tc>
      </w:tr>
      <w:tr>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Activation threshold</w:t>
            </w:r>
          </w:p>
        </w:tc>
        <w:tc>
          <w:tcPr>
            <w:tcW w:type="dxa" w:w="6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500+ ride evaluations accumulated</w:t>
            </w:r>
          </w:p>
        </w:tc>
      </w:tr>
      <w:tr>
        <w:tc>
          <w:tcPr>
            <w:tcW w:type="dxa" w:w="28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Input features</w:t>
            </w:r>
          </w:p>
        </w:tc>
        <w:tc>
          <w:tcPr>
            <w:tcW w:type="dxa" w:w="64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All 6 sub-scores, time, zone, platform, day of week, congestion factor</w:t>
            </w:r>
          </w:p>
        </w:tc>
      </w:tr>
      <w:tr>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Label</w:t>
            </w:r>
          </w:p>
        </w:tc>
        <w:tc>
          <w:tcPr>
            <w:tcW w:type="dxa" w:w="6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Driver's actual accept/reject decision (binary, logged per evaluation)</w:t>
            </w:r>
          </w:p>
        </w:tc>
      </w:tr>
      <w:tr>
        <w:tc>
          <w:tcPr>
            <w:tcW w:type="dxa" w:w="28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Model</w:t>
            </w:r>
          </w:p>
        </w:tc>
        <w:tc>
          <w:tcPr>
            <w:tcW w:type="dxa" w:w="64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Logistic Regression or small Decision Tree — &lt; 50KB, runs &lt; 1ms</w:t>
            </w:r>
          </w:p>
        </w:tc>
      </w:tr>
      <w:tr>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Training</w:t>
            </w:r>
          </w:p>
        </w:tc>
        <w:tc>
          <w:tcPr>
            <w:tcW w:type="dxa" w:w="6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Nightly on-device via WorkManager. No server dependency.</w:t>
            </w:r>
          </w:p>
        </w:tc>
      </w:tr>
      <w:tr>
        <w:tc>
          <w:tcPr>
            <w:tcW w:type="dxa" w:w="28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Output</w:t>
            </w:r>
          </w:p>
        </w:tc>
        <w:tc>
          <w:tcPr>
            <w:tcW w:type="dxa" w:w="64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Personalised weight vector replacing canonical matrix weights for this driver</w:t>
            </w:r>
          </w:p>
        </w:tc>
      </w:tr>
      <w:tr>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Privacy</w:t>
            </w:r>
          </w:p>
        </w:tc>
        <w:tc>
          <w:tcPr>
            <w:tcW w:type="dxa" w:w="6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100% on-device. Zero data transmitted. Model in private app storage.</w:t>
            </w:r>
          </w:p>
        </w:tc>
      </w:tr>
    </w:tbl>
    <w:p>
      <w:r>
        <w:br w:type="page"/>
      </w:r>
    </w:p>
    <w:p>
      <w:pPr>
        <w:pBdr>
          <w:top w:val="none" w:color="FFFFFF" w:sz="0"/>
          <w:bottom w:val="single" w:color="1A4F7A" w:sz="8" w:space="1"/>
          <w:left w:val="none" w:color="FFFFFF" w:sz="0"/>
          <w:right w:val="none" w:color="FFFFFF" w:sz="0"/>
        </w:pBdr>
        <w:spacing w:after="120" w:before="400"/>
      </w:pPr>
      <w:r>
        <w:rPr>
          <w:rFonts w:ascii="Arial" w:cs="Arial" w:eastAsia="Arial" w:hAnsi="Arial"/>
          <w:b/>
          <w:bCs/>
          <w:color w:val="0D2137"/>
          <w:sz w:val="36"/>
          <w:szCs w:val="36"/>
        </w:rPr>
        <w:t xml:space="preserve">8. Driver Empowerment — Bonus Features</w:t>
      </w:r>
    </w:p>
    <w:p>
      <w:pPr>
        <w:spacing w:after="100" w:before="280"/>
      </w:pPr>
      <w:r>
        <w:rPr>
          <w:rFonts w:ascii="Arial" w:cs="Arial" w:eastAsia="Arial" w:hAnsi="Arial"/>
          <w:b/>
          <w:bCs/>
          <w:color w:val="1A4F7A"/>
          <w:sz w:val="28"/>
          <w:szCs w:val="28"/>
        </w:rPr>
        <w:t xml:space="preserve">8.1 Real-Time Net Profitability Dashboard</w:t>
      </w:r>
    </w:p>
    <w:p>
      <w:pPr>
        <w:pStyle w:val="ListParagraph"/>
        <w:numPr>
          <w:ilvl w:val="0"/>
          <w:numId w:val="2"/>
        </w:numPr>
        <w:spacing w:after="40" w:before="40"/>
      </w:pPr>
      <w:r>
        <w:rPr>
          <w:rFonts w:ascii="Arial" w:cs="Arial" w:eastAsia="Arial" w:hAnsi="Arial"/>
          <w:b/>
          <w:bCs/>
          <w:sz w:val="20"/>
          <w:szCs w:val="20"/>
        </w:rPr>
        <w:t xml:space="preserve">Maintenance Accrual Wallet: For every km driven, maintenance CPK is debited into a virtual wallet. Service interval alerts prevent financial shocks.</w:t>
      </w:r>
    </w:p>
    <w:p>
      <w:pPr>
        <w:pStyle w:val="ListParagraph"/>
        <w:numPr>
          <w:ilvl w:val="0"/>
          <w:numId w:val="2"/>
        </w:numPr>
        <w:spacing w:after="40" w:before="40"/>
      </w:pPr>
      <w:r>
        <w:rPr>
          <w:rFonts w:ascii="Arial" w:cs="Arial" w:eastAsia="Arial" w:hAnsi="Arial"/>
          <w:b w:val="false"/>
          <w:bCs w:val="false"/>
          <w:sz w:val="20"/>
          <w:szCs w:val="20"/>
        </w:rPr>
        <w:t xml:space="preserve">Real-Time Fuel Consumption Tracker: Estimated litres/kgs consumed today. Refuel alert before peak surge periods.</w:t>
      </w:r>
    </w:p>
    <w:p>
      <w:pPr>
        <w:pStyle w:val="ListParagraph"/>
        <w:numPr>
          <w:ilvl w:val="0"/>
          <w:numId w:val="2"/>
        </w:numPr>
        <w:spacing w:after="40" w:before="40"/>
      </w:pPr>
      <w:r>
        <w:rPr>
          <w:rFonts w:ascii="Arial" w:cs="Arial" w:eastAsia="Arial" w:hAnsi="Arial"/>
          <w:b w:val="false"/>
          <w:bCs w:val="false"/>
          <w:sz w:val="20"/>
          <w:szCs w:val="20"/>
        </w:rPr>
        <w:t xml:space="preserve">Worst Platform Identifier: Which platform delivered the lowest average accepted RideScore this month.</w:t>
      </w:r>
    </w:p>
    <w:p>
      <w:pPr>
        <w:pStyle w:val="ListParagraph"/>
        <w:numPr>
          <w:ilvl w:val="0"/>
          <w:numId w:val="2"/>
        </w:numPr>
        <w:spacing w:after="40" w:before="40"/>
      </w:pPr>
      <w:r>
        <w:rPr>
          <w:rFonts w:ascii="Arial" w:cs="Arial" w:eastAsia="Arial" w:hAnsi="Arial"/>
          <w:b w:val="false"/>
          <w:bCs w:val="false"/>
          <w:sz w:val="20"/>
          <w:szCs w:val="20"/>
        </w:rPr>
        <w:t xml:space="preserve">HRR Live Display: Real-time Hourly Run Rate vs target — visual gauge showing how well the current shift is performing.</w:t>
      </w:r>
    </w:p>
    <w:p>
      <w:pPr>
        <w:pStyle w:val="ListParagraph"/>
        <w:numPr>
          <w:ilvl w:val="0"/>
          <w:numId w:val="2"/>
        </w:numPr>
        <w:spacing w:after="40" w:before="40"/>
      </w:pPr>
      <w:r>
        <w:rPr>
          <w:rFonts w:ascii="Arial" w:cs="Arial" w:eastAsia="Arial" w:hAnsi="Arial"/>
          <w:b w:val="false"/>
          <w:bCs w:val="false"/>
          <w:sz w:val="20"/>
          <w:szCs w:val="20"/>
        </w:rPr>
        <w:t xml:space="preserve">GST Threshold Warning: Dashboard flags when cumulative annual earnings approach ₹20 lakh GST registration threshold.</w:t>
      </w:r>
    </w:p>
    <w:p>
      <w:pPr>
        <w:spacing w:after="100" w:before="280"/>
      </w:pPr>
      <w:r>
        <w:rPr>
          <w:rFonts w:ascii="Arial" w:cs="Arial" w:eastAsia="Arial" w:hAnsi="Arial"/>
          <w:b/>
          <w:bCs/>
          <w:color w:val="1A4F7A"/>
          <w:sz w:val="28"/>
          <w:szCs w:val="28"/>
        </w:rPr>
        <w:t xml:space="preserve">8.2 Cross-Platform Ride Comparison</w:t>
      </w:r>
    </w:p>
    <w:p>
      <w:pPr>
        <w:spacing w:after="60" w:before="60"/>
      </w:pPr>
      <w:r>
        <w:rPr>
          <w:rFonts w:ascii="Arial" w:cs="Arial" w:eastAsia="Arial" w:hAnsi="Arial"/>
          <w:sz w:val="20"/>
          <w:szCs w:val="20"/>
        </w:rPr>
        <w:t xml:space="preserve">When multiple ride apps have simultaneous active offers, RideSmart ranks them by RideScore and presents a side-by-side comparison:</w:t>
      </w:r>
    </w:p>
    <w:p>
      <w:pPr>
        <w:spacing w:after="0" w:before="10"/>
      </w:pPr>
      <w:r>
        <w:rPr>
          <w:rFonts w:ascii="Arial" w:cs="Arial" w:eastAsia="Arial" w:hAnsi="Arial"/>
          <w:sz w:val="20"/>
          <w:szCs w:val="20"/>
        </w:rPr>
        <w:t xml:space="preserve"/>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1440"/>
        <w:gridCol w:w="1200"/>
        <w:gridCol w:w="1200"/>
        <w:gridCol w:w="1080"/>
        <w:gridCol w:w="1080"/>
        <w:gridCol w:w="1080"/>
        <w:gridCol w:w="1080"/>
        <w:gridCol w:w="1440"/>
        <w:gridCol w:w="1760"/>
      </w:tblGrid>
      <w:tr>
        <w:tc>
          <w:tcPr>
            <w:tcW w:type="dxa" w:w="1440"/>
            <w:tcBorders>
              <w:top w:val="single" w:color="D1D5DB" w:sz="1"/>
              <w:left w:val="single" w:color="D1D5DB" w:sz="1"/>
              <w:bottom w:val="single" w:color="D1D5DB" w:sz="1"/>
              <w:right w:val="single" w:color="D1D5DB" w:sz="1"/>
            </w:tcBorders>
            <w:shd w:fill="0D2137"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Platform</w:t>
            </w:r>
          </w:p>
        </w:tc>
        <w:tc>
          <w:tcPr>
            <w:tcW w:type="dxa" w:w="1200"/>
            <w:tcBorders>
              <w:top w:val="single" w:color="D1D5DB" w:sz="1"/>
              <w:left w:val="single" w:color="D1D5DB" w:sz="1"/>
              <w:bottom w:val="single" w:color="D1D5DB" w:sz="1"/>
              <w:right w:val="single" w:color="D1D5DB" w:sz="1"/>
            </w:tcBorders>
            <w:shd w:fill="0D2137"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RideScore</w:t>
            </w:r>
          </w:p>
        </w:tc>
        <w:tc>
          <w:tcPr>
            <w:tcW w:type="dxa" w:w="1200"/>
            <w:tcBorders>
              <w:top w:val="single" w:color="D1D5DB" w:sz="1"/>
              <w:left w:val="single" w:color="D1D5DB" w:sz="1"/>
              <w:bottom w:val="single" w:color="D1D5DB" w:sz="1"/>
              <w:right w:val="single" w:color="D1D5DB" w:sz="1"/>
            </w:tcBorders>
            <w:shd w:fill="0D2137"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Signal</w:t>
            </w:r>
          </w:p>
        </w:tc>
        <w:tc>
          <w:tcPr>
            <w:tcW w:type="dxa" w:w="1080"/>
            <w:tcBorders>
              <w:top w:val="single" w:color="D1D5DB" w:sz="1"/>
              <w:left w:val="single" w:color="D1D5DB" w:sz="1"/>
              <w:bottom w:val="single" w:color="D1D5DB" w:sz="1"/>
              <w:right w:val="single" w:color="D1D5DB" w:sz="1"/>
            </w:tcBorders>
            <w:shd w:fill="0D2137"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Fare</w:t>
            </w:r>
          </w:p>
        </w:tc>
        <w:tc>
          <w:tcPr>
            <w:tcW w:type="dxa" w:w="1080"/>
            <w:tcBorders>
              <w:top w:val="single" w:color="D1D5DB" w:sz="1"/>
              <w:left w:val="single" w:color="D1D5DB" w:sz="1"/>
              <w:bottom w:val="single" w:color="D1D5DB" w:sz="1"/>
              <w:right w:val="single" w:color="D1D5DB" w:sz="1"/>
            </w:tcBorders>
            <w:shd w:fill="0D2137"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Trip</w:t>
            </w:r>
          </w:p>
        </w:tc>
        <w:tc>
          <w:tcPr>
            <w:tcW w:type="dxa" w:w="1080"/>
            <w:tcBorders>
              <w:top w:val="single" w:color="D1D5DB" w:sz="1"/>
              <w:left w:val="single" w:color="D1D5DB" w:sz="1"/>
              <w:bottom w:val="single" w:color="D1D5DB" w:sz="1"/>
              <w:right w:val="single" w:color="D1D5DB" w:sz="1"/>
            </w:tcBorders>
            <w:shd w:fill="0D2137"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Pickup</w:t>
            </w:r>
          </w:p>
        </w:tc>
        <w:tc>
          <w:tcPr>
            <w:tcW w:type="dxa" w:w="1080"/>
            <w:tcBorders>
              <w:top w:val="single" w:color="D1D5DB" w:sz="1"/>
              <w:left w:val="single" w:color="D1D5DB" w:sz="1"/>
              <w:bottom w:val="single" w:color="D1D5DB" w:sz="1"/>
              <w:right w:val="single" w:color="D1D5DB" w:sz="1"/>
            </w:tcBorders>
            <w:shd w:fill="0D2137"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Net</w:t>
            </w:r>
          </w:p>
        </w:tc>
        <w:tc>
          <w:tcPr>
            <w:tcW w:type="dxa" w:w="1440"/>
            <w:tcBorders>
              <w:top w:val="single" w:color="D1D5DB" w:sz="1"/>
              <w:left w:val="single" w:color="D1D5DB" w:sz="1"/>
              <w:bottom w:val="single" w:color="D1D5DB" w:sz="1"/>
              <w:right w:val="single" w:color="D1D5DB" w:sz="1"/>
            </w:tcBorders>
            <w:shd w:fill="0D2137"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EPK</w:t>
            </w:r>
          </w:p>
        </w:tc>
        <w:tc>
          <w:tcPr>
            <w:tcW w:type="dxa" w:w="1760"/>
            <w:tcBorders>
              <w:top w:val="single" w:color="D1D5DB" w:sz="1"/>
              <w:left w:val="single" w:color="D1D5DB" w:sz="1"/>
              <w:bottom w:val="single" w:color="D1D5DB" w:sz="1"/>
              <w:right w:val="single" w:color="D1D5DB" w:sz="1"/>
            </w:tcBorders>
            <w:shd w:fill="0D2137"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Flag</w:t>
            </w:r>
          </w:p>
        </w:tc>
      </w:tr>
      <w:tr>
        <w:tc>
          <w:tcPr>
            <w:tcW w:type="dxa" w:w="1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Uber</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82</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 BEST</w:t>
            </w:r>
          </w:p>
        </w:tc>
        <w:tc>
          <w:tcPr>
            <w:tcW w:type="dxa" w:w="1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₹185</w:t>
            </w:r>
          </w:p>
        </w:tc>
        <w:tc>
          <w:tcPr>
            <w:tcW w:type="dxa" w:w="1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8.2km</w:t>
            </w:r>
          </w:p>
        </w:tc>
        <w:tc>
          <w:tcPr>
            <w:tcW w:type="dxa" w:w="1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1.1km</w:t>
            </w:r>
          </w:p>
        </w:tc>
        <w:tc>
          <w:tcPr>
            <w:tcW w:type="dxa" w:w="1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₹112</w:t>
            </w:r>
          </w:p>
        </w:tc>
        <w:tc>
          <w:tcPr>
            <w:tcW w:type="dxa" w:w="1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₹13.6/km</w:t>
            </w:r>
          </w:p>
        </w:tc>
        <w:tc>
          <w:tcPr>
            <w:tcW w:type="dxa" w:w="1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w:t>
            </w:r>
          </w:p>
        </w:tc>
      </w:tr>
      <w:tr>
        <w:tc>
          <w:tcPr>
            <w:tcW w:type="dxa" w:w="14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Rapido</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58</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w:t>
            </w:r>
          </w:p>
        </w:tc>
        <w:tc>
          <w:tcPr>
            <w:tcW w:type="dxa" w:w="10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₹95</w:t>
            </w:r>
          </w:p>
        </w:tc>
        <w:tc>
          <w:tcPr>
            <w:tcW w:type="dxa" w:w="10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6.4km</w:t>
            </w:r>
          </w:p>
        </w:tc>
        <w:tc>
          <w:tcPr>
            <w:tcW w:type="dxa" w:w="10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2.3km</w:t>
            </w:r>
          </w:p>
        </w:tc>
        <w:tc>
          <w:tcPr>
            <w:tcW w:type="dxa" w:w="10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₹54</w:t>
            </w:r>
          </w:p>
        </w:tc>
        <w:tc>
          <w:tcPr>
            <w:tcW w:type="dxa" w:w="14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₹8.4/km</w:t>
            </w:r>
          </w:p>
        </w:tc>
        <w:tc>
          <w:tcPr>
            <w:tcW w:type="dxa" w:w="1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w:t>
            </w:r>
          </w:p>
        </w:tc>
      </w:tr>
      <w:tr>
        <w:tc>
          <w:tcPr>
            <w:tcW w:type="dxa" w:w="1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Ola</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31</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w:t>
            </w:r>
          </w:p>
        </w:tc>
        <w:tc>
          <w:tcPr>
            <w:tcW w:type="dxa" w:w="1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₹72</w:t>
            </w:r>
          </w:p>
        </w:tc>
        <w:tc>
          <w:tcPr>
            <w:tcW w:type="dxa" w:w="1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3.1km</w:t>
            </w:r>
          </w:p>
        </w:tc>
        <w:tc>
          <w:tcPr>
            <w:tcW w:type="dxa" w:w="1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3.8km</w:t>
            </w:r>
          </w:p>
        </w:tc>
        <w:tc>
          <w:tcPr>
            <w:tcW w:type="dxa" w:w="1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₹18</w:t>
            </w:r>
          </w:p>
        </w:tc>
        <w:tc>
          <w:tcPr>
            <w:tcW w:type="dxa" w:w="1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₹5.8/km</w:t>
            </w:r>
          </w:p>
        </w:tc>
        <w:tc>
          <w:tcPr>
            <w:tcW w:type="dxa" w:w="1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 PPR 1.22 — extreme deadhead</w:t>
            </w:r>
          </w:p>
        </w:tc>
      </w:tr>
    </w:tbl>
    <w:p>
      <w:pPr>
        <w:spacing w:after="100" w:before="280"/>
      </w:pPr>
      <w:r>
        <w:rPr>
          <w:rFonts w:ascii="Arial" w:cs="Arial" w:eastAsia="Arial" w:hAnsi="Arial"/>
          <w:b/>
          <w:bCs/>
          <w:color w:val="1A4F7A"/>
          <w:sz w:val="28"/>
          <w:szCs w:val="28"/>
        </w:rPr>
        <w:t xml:space="preserve">8.3 Algorithmic Platform Bias Detection</w:t>
      </w:r>
    </w:p>
    <w:p>
      <w:pPr>
        <w:spacing w:after="60" w:before="60"/>
      </w:pPr>
      <w:r>
        <w:rPr>
          <w:rFonts w:ascii="Arial" w:cs="Arial" w:eastAsia="Arial" w:hAnsi="Arial"/>
          <w:sz w:val="20"/>
          <w:szCs w:val="20"/>
        </w:rPr>
        <w:t xml:space="preserve">Platform algorithms preferentially assign high-paying, low-cancellation rides to drivers who work consecutive hours during specific windows. RideSmart detects this pattern from historical data and notifies drivers to shift their working block by 1–2 hours to align with the platform's preferential algorithmic window — effectively reverse-engineering the assignment system.</w:t>
      </w:r>
    </w:p>
    <w:p>
      <w:pPr>
        <w:spacing w:after="100" w:before="280"/>
      </w:pPr>
      <w:r>
        <w:rPr>
          <w:rFonts w:ascii="Arial" w:cs="Arial" w:eastAsia="Arial" w:hAnsi="Arial"/>
          <w:b/>
          <w:bCs/>
          <w:color w:val="1A4F7A"/>
          <w:sz w:val="28"/>
          <w:szCs w:val="28"/>
        </w:rPr>
        <w:t xml:space="preserve">8.4 Driver Efficiency Score (DES — Weekly Gamification)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4F7A" w:sz="1"/>
              <w:left w:val="single" w:color="1A4F7A" w:sz="1"/>
              <w:bottom w:val="single" w:color="1A4F7A" w:sz="1"/>
              <w:right w:val="single" w:color="1A4F7A" w:sz="1"/>
            </w:tcBorders>
            <w:shd w:fill="D0E4F5" w:val="clear"/>
            <w:tcMar>
              <w:top w:type="dxa" w:w="80"/>
              <w:left w:type="dxa" w:w="200"/>
              <w:bottom w:type="dxa" w:w="20"/>
              <w:right w:type="dxa" w:w="200"/>
            </w:tcMar>
          </w:tcPr>
          <w:p>
            <w:pPr>
              <w:spacing w:after="20" w:before="20"/>
            </w:pPr>
            <w:r>
              <w:rPr>
                <w:rFonts w:ascii="Arial" w:cs="Arial" w:eastAsia="Arial" w:hAnsi="Arial"/>
                <w:b/>
                <w:bCs/>
                <w:color w:val="1A4F7A"/>
                <w:sz w:val="18"/>
                <w:szCs w:val="18"/>
              </w:rPr>
              <w:t xml:space="preserve">Driver Efficiency Score (Weekly)</w:t>
            </w:r>
          </w:p>
        </w:tc>
      </w:tr>
      <w:tr>
        <w:tc>
          <w:tcPr>
            <w:tcW w:type="dxa" w:w="9360"/>
            <w:tcBorders>
              <w:top w:val="single" w:color="1A4F7A" w:sz="1"/>
              <w:left w:val="single" w:color="1A4F7A" w:sz="1"/>
              <w:bottom w:val="single" w:color="1A4F7A" w:sz="1"/>
              <w:right w:val="single" w:color="1A4F7A" w:sz="1"/>
            </w:tcBorders>
            <w:shd w:fill="FFFFFF" w:val="clear"/>
            <w:tcMar>
              <w:top w:type="dxa" w:w="100"/>
              <w:left w:type="dxa" w:w="200"/>
              <w:bottom w:type="dxa" w:w="100"/>
              <w:right w:type="dxa" w:w="200"/>
            </w:tcMar>
          </w:tcPr>
          <w:p>
            <w:pPr>
              <w:spacing w:after="20" w:before="20"/>
            </w:pPr>
            <w:r>
              <w:rPr>
                <w:rFonts w:ascii="Courier New" w:cs="Courier New" w:eastAsia="Courier New" w:hAnsi="Courier New"/>
                <w:b/>
                <w:bCs/>
                <w:color w:val="1E3A5F"/>
                <w:sz w:val="22"/>
                <w:szCs w:val="22"/>
              </w:rPr>
              <w:t xml:space="preserve">DES = (TotalNetEarnings ÷ TotalActiveHours) ÷ HourlyTarget × 100</w:t>
            </w:r>
          </w:p>
        </w:tc>
      </w:tr>
      <w:tr>
        <w:tc>
          <w:tcPr>
            <w:tcW w:type="dxa" w:w="9360"/>
            <w:tcBorders>
              <w:top w:val="single" w:color="1A4F7A" w:sz="1"/>
              <w:left w:val="single" w:color="1A4F7A" w:sz="1"/>
              <w:bottom w:val="single" w:color="1A4F7A" w:sz="1"/>
              <w:right w:val="single" w:color="1A4F7A" w:sz="1"/>
            </w:tcBorders>
            <w:shd w:fill="EFF6FF" w:val="clear"/>
            <w:tcMar>
              <w:top w:type="dxa" w:w="60"/>
              <w:left w:type="dxa" w:w="200"/>
              <w:bottom w:type="dxa" w:w="60"/>
              <w:right w:type="dxa" w:w="200"/>
            </w:tcMar>
          </w:tcPr>
          <w:p>
            <w:pPr>
              <w:spacing w:after="20" w:before="20"/>
            </w:pPr>
            <w:r>
              <w:rPr>
                <w:rFonts w:ascii="Arial" w:cs="Arial" w:eastAsia="Arial" w:hAnsi="Arial"/>
                <w:i/>
                <w:iCs/>
                <w:color w:val="374151"/>
                <w:sz w:val="18"/>
                <w:szCs w:val="18"/>
              </w:rPr>
              <w:t xml:space="preserve">DES &gt; 100: Exceeding income target. Tracked weekly with badges: Efficient | Improving | Needs Attention.</w:t>
            </w:r>
          </w:p>
        </w:tc>
      </w:tr>
    </w:tbl>
    <w:p>
      <w:pPr>
        <w:spacing w:after="100" w:before="280"/>
      </w:pPr>
      <w:r>
        <w:rPr>
          <w:rFonts w:ascii="Arial" w:cs="Arial" w:eastAsia="Arial" w:hAnsi="Arial"/>
          <w:b/>
          <w:bCs/>
          <w:color w:val="1A4F7A"/>
          <w:sz w:val="28"/>
          <w:szCs w:val="28"/>
        </w:rPr>
        <w:t xml:space="preserve">8.5 Income Forecasting &amp; Break-Even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5400"/>
      </w:tblGrid>
      <w:tr>
        <w:tc>
          <w:tcPr>
            <w:tcW w:type="dxa" w:w="3960"/>
            <w:tcBorders>
              <w:top w:val="single" w:color="D1D5DB" w:sz="1"/>
              <w:left w:val="single" w:color="D1D5DB" w:sz="1"/>
              <w:bottom w:val="single" w:color="D1D5DB" w:sz="1"/>
              <w:right w:val="single" w:color="D1D5DB" w:sz="1"/>
            </w:tcBorders>
            <w:shd w:fill="0D2137"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Metric</w:t>
            </w:r>
          </w:p>
        </w:tc>
        <w:tc>
          <w:tcPr>
            <w:tcW w:type="dxa" w:w="5400"/>
            <w:tcBorders>
              <w:top w:val="single" w:color="D1D5DB" w:sz="1"/>
              <w:left w:val="single" w:color="D1D5DB" w:sz="1"/>
              <w:bottom w:val="single" w:color="D1D5DB" w:sz="1"/>
              <w:right w:val="single" w:color="D1D5DB" w:sz="1"/>
            </w:tcBorders>
            <w:shd w:fill="0D2137"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Calculation</w:t>
            </w:r>
          </w:p>
        </w:tc>
      </w:tr>
      <w:tr>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Projected Daily Earnings</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AvgNetProfitPerRide × EstimatedRidesPerHour × PlannedWorkHours</w:t>
            </w:r>
          </w:p>
        </w:tc>
      </w:tr>
      <w:tr>
        <w:tc>
          <w:tcPr>
            <w:tcW w:type="dxa" w:w="3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Break-Even Rides Per Day</w:t>
            </w:r>
          </w:p>
        </w:tc>
        <w:tc>
          <w:tcPr>
            <w:tcW w:type="dxa" w:w="5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DailyFixedCosts ÷ AvgNetProfitPerRide</w:t>
            </w:r>
          </w:p>
        </w:tc>
      </w:tr>
      <w:tr>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Daily Fixed Costs</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(MonthlyEMI + Insurance) ÷ 30 + DailyFuelBase + DailySubscriptionFee</w:t>
            </w:r>
          </w:p>
        </w:tc>
      </w:tr>
      <w:tr>
        <w:tc>
          <w:tcPr>
            <w:tcW w:type="dxa" w:w="3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Weekly Income Trend</w:t>
            </w:r>
          </w:p>
        </w:tc>
        <w:tc>
          <w:tcPr>
            <w:tcW w:type="dxa" w:w="5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7-day rolling average NetProfit vs prior 7 days (% change)</w:t>
            </w:r>
          </w:p>
        </w:tc>
      </w:tr>
      <w:tr>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Best Hour of Day</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Hour with highest cumulative EPH over last 30 days of ride history</w:t>
            </w:r>
          </w:p>
        </w:tc>
      </w:tr>
    </w:tbl>
    <w:p>
      <w:r>
        <w:br w:type="page"/>
      </w:r>
    </w:p>
    <w:p>
      <w:pPr>
        <w:pBdr>
          <w:top w:val="none" w:color="FFFFFF" w:sz="0"/>
          <w:bottom w:val="single" w:color="1A4F7A" w:sz="8" w:space="1"/>
          <w:left w:val="none" w:color="FFFFFF" w:sz="0"/>
          <w:right w:val="none" w:color="FFFFFF" w:sz="0"/>
        </w:pBdr>
        <w:spacing w:after="120" w:before="400"/>
      </w:pPr>
      <w:r>
        <w:rPr>
          <w:rFonts w:ascii="Arial" w:cs="Arial" w:eastAsia="Arial" w:hAnsi="Arial"/>
          <w:b/>
          <w:bCs/>
          <w:color w:val="0D2137"/>
          <w:sz w:val="36"/>
          <w:szCs w:val="36"/>
        </w:rPr>
        <w:t xml:space="preserve">9. Regulatory Context &amp; Market Dynamics (India, 2026)</w:t>
      </w:r>
    </w:p>
    <w:p>
      <w:pPr>
        <w:spacing w:after="100" w:before="280"/>
      </w:pPr>
      <w:r>
        <w:rPr>
          <w:rFonts w:ascii="Arial" w:cs="Arial" w:eastAsia="Arial" w:hAnsi="Arial"/>
          <w:b/>
          <w:bCs/>
          <w:color w:val="1A4F7A"/>
          <w:sz w:val="28"/>
          <w:szCs w:val="28"/>
        </w:rPr>
        <w:t xml:space="preserve">9.1 GST Implications</w:t>
      </w:r>
    </w:p>
    <w:p>
      <w:pPr>
        <w:pStyle w:val="ListParagraph"/>
        <w:numPr>
          <w:ilvl w:val="0"/>
          <w:numId w:val="2"/>
        </w:numPr>
        <w:spacing w:after="40" w:before="40"/>
      </w:pPr>
      <w:r>
        <w:rPr>
          <w:rFonts w:ascii="Arial" w:cs="Arial" w:eastAsia="Arial" w:hAnsi="Arial"/>
          <w:b/>
          <w:bCs/>
          <w:sz w:val="20"/>
          <w:szCs w:val="20"/>
        </w:rPr>
        <w:t xml:space="preserve">Ride-hailing services attract 5% GST on the platform side. Does not directly reduce driver take-home fare but influences commission structures.</w:t>
      </w:r>
    </w:p>
    <w:p>
      <w:pPr>
        <w:pStyle w:val="ListParagraph"/>
        <w:numPr>
          <w:ilvl w:val="0"/>
          <w:numId w:val="2"/>
        </w:numPr>
        <w:spacing w:after="40" w:before="40"/>
      </w:pPr>
      <w:r>
        <w:rPr>
          <w:rFonts w:ascii="Arial" w:cs="Arial" w:eastAsia="Arial" w:hAnsi="Arial"/>
          <w:b w:val="false"/>
          <w:bCs w:val="false"/>
          <w:sz w:val="20"/>
          <w:szCs w:val="20"/>
        </w:rPr>
        <w:t xml:space="preserve">Gig drivers earning above ₹20 lakh annually must register for GST. Income dashboard must flag this threshold proactively.</w:t>
      </w:r>
    </w:p>
    <w:p>
      <w:pPr>
        <w:pStyle w:val="ListParagraph"/>
        <w:numPr>
          <w:ilvl w:val="0"/>
          <w:numId w:val="2"/>
        </w:numPr>
        <w:spacing w:after="40" w:before="40"/>
      </w:pPr>
      <w:r>
        <w:rPr>
          <w:rFonts w:ascii="Arial" w:cs="Arial" w:eastAsia="Arial" w:hAnsi="Arial"/>
          <w:b w:val="false"/>
          <w:bCs w:val="false"/>
          <w:sz w:val="20"/>
          <w:szCs w:val="20"/>
        </w:rPr>
        <w:t xml:space="preserve">Fuel costs (petrol, diesel, CNG) cannot be claimed as input tax credits under current GST rules for unregistered drivers — fully absorbed into the CPK model.</w:t>
      </w:r>
    </w:p>
    <w:p>
      <w:pPr>
        <w:spacing w:after="100" w:before="280"/>
      </w:pPr>
      <w:r>
        <w:rPr>
          <w:rFonts w:ascii="Arial" w:cs="Arial" w:eastAsia="Arial" w:hAnsi="Arial"/>
          <w:b/>
          <w:bCs/>
          <w:color w:val="1A4F7A"/>
          <w:sz w:val="28"/>
          <w:szCs w:val="28"/>
        </w:rPr>
        <w:t xml:space="preserve">9.2 Social Security — Rajasthan Gig Workers Act &amp; E-Shram</w:t>
      </w:r>
    </w:p>
    <w:p>
      <w:pPr>
        <w:pStyle w:val="ListParagraph"/>
        <w:numPr>
          <w:ilvl w:val="0"/>
          <w:numId w:val="2"/>
        </w:numPr>
        <w:spacing w:after="40" w:before="40"/>
      </w:pPr>
      <w:r>
        <w:rPr>
          <w:rFonts w:ascii="Arial" w:cs="Arial" w:eastAsia="Arial" w:hAnsi="Arial"/>
          <w:b/>
          <w:bCs/>
          <w:sz w:val="20"/>
          <w:szCs w:val="20"/>
        </w:rPr>
        <w:t xml:space="preserve">Rajasthan Platform-Based Gig Workers Act 2023: India's first law mandating social security for gig workers. Platforms must contribute 1–2% per transaction to welfare fund.</w:t>
      </w:r>
    </w:p>
    <w:p>
      <w:pPr>
        <w:pStyle w:val="ListParagraph"/>
        <w:numPr>
          <w:ilvl w:val="0"/>
          <w:numId w:val="2"/>
        </w:numPr>
        <w:spacing w:after="40" w:before="40"/>
      </w:pPr>
      <w:r>
        <w:rPr>
          <w:rFonts w:ascii="Arial" w:cs="Arial" w:eastAsia="Arial" w:hAnsi="Arial"/>
          <w:b w:val="false"/>
          <w:bCs w:val="false"/>
          <w:sz w:val="20"/>
          <w:szCs w:val="20"/>
        </w:rPr>
        <w:t xml:space="preserve">Union Budget 2025: Health cover and ID cards for gig workers via E-Shram portal. ~10.7 million gig workers eligible.</w:t>
      </w:r>
    </w:p>
    <w:p>
      <w:pPr>
        <w:pStyle w:val="ListParagraph"/>
        <w:numPr>
          <w:ilvl w:val="0"/>
          <w:numId w:val="2"/>
        </w:numPr>
        <w:spacing w:after="40" w:before="40"/>
      </w:pPr>
      <w:r>
        <w:rPr>
          <w:rFonts w:ascii="Arial" w:cs="Arial" w:eastAsia="Arial" w:hAnsi="Arial"/>
          <w:b w:val="false"/>
          <w:bCs w:val="false"/>
          <w:sz w:val="20"/>
          <w:szCs w:val="20"/>
        </w:rPr>
        <w:t xml:space="preserve">RideSmart dashboard should display accumulated E-Shram welfare contributions — informing drivers of social security accrual beyond take-home earnings.</w:t>
      </w:r>
    </w:p>
    <w:p>
      <w:pPr>
        <w:spacing w:after="100" w:before="280"/>
      </w:pPr>
      <w:r>
        <w:rPr>
          <w:rFonts w:ascii="Arial" w:cs="Arial" w:eastAsia="Arial" w:hAnsi="Arial"/>
          <w:b/>
          <w:bCs/>
          <w:color w:val="1A4F7A"/>
          <w:sz w:val="28"/>
          <w:szCs w:val="28"/>
        </w:rPr>
        <w:t xml:space="preserve">9.3 ONDC — Open Network for Digital Commerce</w:t>
      </w:r>
    </w:p>
    <w:p>
      <w:pPr>
        <w:spacing w:after="60" w:before="60"/>
      </w:pPr>
      <w:r>
        <w:rPr>
          <w:rFonts w:ascii="Arial" w:cs="Arial" w:eastAsia="Arial" w:hAnsi="Arial"/>
          <w:sz w:val="20"/>
          <w:szCs w:val="20"/>
        </w:rPr>
        <w:t xml:space="preserve">ONDC is a government-backed interoperability protocol enabling any buyer app to connect with any seller app. Several mobility players are onboarding. RideSmart must be architected to support ONDC ride-hailing protocols as a new platform type, enabling evaluation of ONDC-sourced rides with the same scoring engine. The Data Extraction Module's platform-parser architecture (per §6.1) is designed for this extension.</w:t>
      </w:r>
    </w:p>
    <w:p>
      <w:pPr>
        <w:spacing w:after="100" w:before="280"/>
      </w:pPr>
      <w:r>
        <w:rPr>
          <w:rFonts w:ascii="Arial" w:cs="Arial" w:eastAsia="Arial" w:hAnsi="Arial"/>
          <w:b/>
          <w:bCs/>
          <w:color w:val="1A4F7A"/>
          <w:sz w:val="28"/>
          <w:szCs w:val="28"/>
        </w:rPr>
        <w:t xml:space="preserve">9.4 Zero-Commission Model Proliferation</w:t>
      </w:r>
    </w:p>
    <w:p>
      <w:pPr>
        <w:spacing w:after="60" w:before="60"/>
      </w:pPr>
      <w:r>
        <w:rPr>
          <w:rFonts w:ascii="Arial" w:cs="Arial" w:eastAsia="Arial" w:hAnsi="Arial"/>
          <w:sz w:val="20"/>
          <w:szCs w:val="20"/>
        </w:rPr>
        <w:t xml:space="preserve">India is undergoing a structural shift from commission-based to subscription-based platform models. Namma Yatri, Rapido, and Ola have introduced zero-commission tiers; Uber launched Driver Pass in 2025. RideSmart's SessionTracker subscription amortisation module (§6.5) directly addresses this evolution and was identified as a critical gap in all previous profit modelling approaches.</w:t>
      </w:r>
    </w:p>
    <w:p>
      <w:r>
        <w:br w:type="page"/>
      </w:r>
    </w:p>
    <w:p>
      <w:pPr>
        <w:pBdr>
          <w:top w:val="none" w:color="FFFFFF" w:sz="0"/>
          <w:bottom w:val="single" w:color="1A4F7A" w:sz="8" w:space="1"/>
          <w:left w:val="none" w:color="FFFFFF" w:sz="0"/>
          <w:right w:val="none" w:color="FFFFFF" w:sz="0"/>
        </w:pBdr>
        <w:spacing w:after="120" w:before="400"/>
      </w:pPr>
      <w:r>
        <w:rPr>
          <w:rFonts w:ascii="Arial" w:cs="Arial" w:eastAsia="Arial" w:hAnsi="Arial"/>
          <w:b/>
          <w:bCs/>
          <w:color w:val="0D2137"/>
          <w:sz w:val="36"/>
          <w:szCs w:val="36"/>
        </w:rPr>
        <w:t xml:space="preserve">10. Summary Reference Card (v2.0)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5400"/>
      </w:tblGrid>
      <w:tr>
        <w:tc>
          <w:tcPr>
            <w:tcW w:type="dxa" w:w="3960"/>
            <w:tcBorders>
              <w:top w:val="single" w:color="D1D5DB" w:sz="1"/>
              <w:left w:val="single" w:color="D1D5DB" w:sz="1"/>
              <w:bottom w:val="single" w:color="D1D5DB" w:sz="1"/>
              <w:right w:val="single" w:color="D1D5DB" w:sz="1"/>
            </w:tcBorders>
            <w:shd w:fill="0D2137"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Formula / Metric</w:t>
            </w:r>
          </w:p>
        </w:tc>
        <w:tc>
          <w:tcPr>
            <w:tcW w:type="dxa" w:w="5400"/>
            <w:tcBorders>
              <w:top w:val="single" w:color="D1D5DB" w:sz="1"/>
              <w:left w:val="single" w:color="D1D5DB" w:sz="1"/>
              <w:bottom w:val="single" w:color="D1D5DB" w:sz="1"/>
              <w:right w:val="single" w:color="D1D5DB" w:sz="1"/>
            </w:tcBorders>
            <w:shd w:fill="0D2137"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Definition (v2.0 Corrected)</w:t>
            </w:r>
          </w:p>
        </w:tc>
      </w:tr>
      <w:tr>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Net Profit Formula</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GrossFare − FuelCost(TotalDist) − MaintenanceCost(TotalDist) − IdleTimeCost</w:t>
            </w:r>
          </w:p>
        </w:tc>
      </w:tr>
      <w:tr>
        <w:tc>
          <w:tcPr>
            <w:tcW w:type="dxa" w:w="3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Gross Fare (Commission)</w:t>
            </w:r>
          </w:p>
        </w:tc>
        <w:tc>
          <w:tcPr>
            <w:tcW w:type="dxa" w:w="5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(BaseFare × Surge × (1 − CommissionRate)) + BonusAmount</w:t>
            </w:r>
          </w:p>
        </w:tc>
      </w:tr>
      <w:tr>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Gross Fare (Subscription)</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(BaseFare × Surge) + BonusAmount − SubscriptionAmortisedPerTrip</w:t>
            </w:r>
          </w:p>
        </w:tc>
      </w:tr>
      <w:tr>
        <w:tc>
          <w:tcPr>
            <w:tcW w:type="dxa" w:w="3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Cost Per Km (CPK)</w:t>
            </w:r>
          </w:p>
        </w:tc>
        <w:tc>
          <w:tcPr>
            <w:tcW w:type="dxa" w:w="5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FuelPrice÷Mileage + MaintenanceCPK (no TimeCostPerKm — v2.0 fix)</w:t>
            </w:r>
          </w:p>
        </w:tc>
      </w:tr>
      <w:tr>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Pickup Penalty Ratio (PPR)</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PickupKm ÷ TripKm (flag &gt; 0.50 · Override &gt; 0.80)</w:t>
            </w:r>
          </w:p>
        </w:tc>
      </w:tr>
      <w:tr>
        <w:tc>
          <w:tcPr>
            <w:tcW w:type="dxa" w:w="3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Time Efficiency Score (TES)</w:t>
            </w:r>
          </w:p>
        </w:tc>
        <w:tc>
          <w:tcPr>
            <w:tcW w:type="dxa" w:w="5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(TripTimeMin ÷ TRT) × 100</w:t>
            </w:r>
          </w:p>
        </w:tc>
      </w:tr>
      <w:tr>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Earnings Per Km (EPK)</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NetProfit ÷ TripKm</w:t>
            </w:r>
          </w:p>
        </w:tc>
      </w:tr>
      <w:tr>
        <w:tc>
          <w:tcPr>
            <w:tcW w:type="dxa" w:w="3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Target EPK</w:t>
            </w:r>
          </w:p>
        </w:tc>
        <w:tc>
          <w:tcPr>
            <w:tcW w:type="dxa" w:w="5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CPK × 2.0 (50 = break-even, 100 = 2× cost recovery)</w:t>
            </w:r>
          </w:p>
        </w:tc>
      </w:tr>
      <w:tr>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Hourly Run Rate (HRR)</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(NetProfit ÷ TRT) × 60 — DISPLAY ONLY, not in RideScore</w:t>
            </w:r>
          </w:p>
        </w:tc>
      </w:tr>
      <w:tr>
        <w:tc>
          <w:tcPr>
            <w:tcW w:type="dxa" w:w="3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ProfitabilityFloor</w:t>
            </w:r>
          </w:p>
        </w:tc>
        <w:tc>
          <w:tcPr>
            <w:tcW w:type="dxa" w:w="5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CPK × TotalDistKm × 1.25 (replaces MinViableFare — v2.0 fix)</w:t>
            </w:r>
          </w:p>
        </w:tc>
      </w:tr>
      <w:tr>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RideScore</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Weighted sum S1–S6 (0–100, weights from canonical matrix §4.4)</w:t>
            </w:r>
          </w:p>
        </w:tc>
      </w:tr>
      <w:tr>
        <w:tc>
          <w:tcPr>
            <w:tcW w:type="dxa" w:w="3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GREEN Threshold</w:t>
            </w:r>
          </w:p>
        </w:tc>
        <w:tc>
          <w:tcPr>
            <w:tcW w:type="dxa" w:w="5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RideScore ≥ 75</w:t>
            </w:r>
          </w:p>
        </w:tc>
      </w:tr>
      <w:tr>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YELLOW Threshold</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RideScore 45–74</w:t>
            </w:r>
          </w:p>
        </w:tc>
      </w:tr>
      <w:tr>
        <w:tc>
          <w:tcPr>
            <w:tcW w:type="dxa" w:w="3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RED Threshold</w:t>
            </w:r>
          </w:p>
        </w:tc>
        <w:tc>
          <w:tcPr>
            <w:tcW w:type="dxa" w:w="5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RideScore &lt; 45 OR any Hard Override triggered</w:t>
            </w:r>
          </w:p>
        </w:tc>
      </w:tr>
      <w:tr>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EPK Hard Override (2W)</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EPK &lt; ₹2.00/km (v2.0 fix — was ₹1.50 for all vehicles)</w:t>
            </w:r>
          </w:p>
        </w:tc>
      </w:tr>
      <w:tr>
        <w:tc>
          <w:tcPr>
            <w:tcW w:type="dxa" w:w="3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EPK Hard Override (4W)</w:t>
            </w:r>
          </w:p>
        </w:tc>
        <w:tc>
          <w:tcPr>
            <w:tcW w:type="dxa" w:w="5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EPK &lt; ₹3.50/km (v2.0 fix — vehicle-class specific)</w:t>
            </w:r>
          </w:p>
        </w:tc>
      </w:tr>
      <w:tr>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Scoring Computation Time</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&lt; 5ms pure arithmetic · &lt; 300ms with OCR · &lt; 800ms end-to-end</w:t>
            </w:r>
          </w:p>
        </w:tc>
      </w:tr>
      <w:tr>
        <w:tc>
          <w:tcPr>
            <w:tcW w:type="dxa" w:w="3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Driver Efficiency Score</w:t>
            </w:r>
          </w:p>
        </w:tc>
        <w:tc>
          <w:tcPr>
            <w:tcW w:type="dxa" w:w="5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40" w:before="40"/>
            </w:pPr>
            <w:r>
              <w:rPr>
                <w:rFonts w:ascii="Arial" w:cs="Arial" w:eastAsia="Arial" w:hAnsi="Arial"/>
                <w:sz w:val="18"/>
                <w:szCs w:val="18"/>
              </w:rPr>
              <w:t xml:space="preserve">(TotalNetEarnings ÷ TotalActiveHours) ÷ HourlyTarget × 100</w:t>
            </w:r>
          </w:p>
        </w:tc>
      </w:tr>
    </w:tbl>
    <w:p>
      <w:pPr>
        <w:spacing w:after="0" w:before="40"/>
      </w:pPr>
      <w:r>
        <w:rPr>
          <w:rFonts w:ascii="Arial" w:cs="Arial" w:eastAsia="Arial" w:hAnsi="Arial"/>
          <w:sz w:val="20"/>
          <w:szCs w:val="20"/>
        </w:rPr>
        <w:t xml:space="preserve"/>
      </w:r>
    </w:p>
    <w:p>
      <w:pPr>
        <w:pBdr>
          <w:top w:val="none" w:color="FFFFFF" w:sz="0"/>
          <w:bottom w:val="single" w:color="D1D5DB" w:sz="4" w:space="1"/>
          <w:left w:val="none" w:color="FFFFFF" w:sz="0"/>
          <w:right w:val="none" w:color="FFFFFF" w:sz="0"/>
        </w:pBdr>
        <w:spacing w:after="0" w:before="120"/>
      </w:pPr>
      <w:r>
        <w:rPr>
          <w:rFonts w:ascii="Arial" w:cs="Arial" w:eastAsia="Arial" w:hAnsi="Arial"/>
          <w:sz w:val="20"/>
          <w:szCs w:val="20"/>
        </w:rPr>
        <w:t xml:space="preserve"/>
      </w:r>
    </w:p>
    <w:p>
      <w:pPr>
        <w:spacing w:after="0" w:before="20"/>
      </w:pPr>
      <w:r>
        <w:rPr>
          <w:rFonts w:ascii="Arial" w:cs="Arial" w:eastAsia="Arial" w:hAnsi="Arial"/>
          <w:sz w:val="20"/>
          <w:szCs w:val="20"/>
        </w:rPr>
        <w:t xml:space="preserve"/>
      </w:r>
    </w:p>
    <w:p>
      <w:pPr>
        <w:spacing w:after="0" w:before="0"/>
        <w:jc w:val="center"/>
      </w:pPr>
      <w:r>
        <w:rPr>
          <w:rFonts w:ascii="Arial" w:cs="Arial" w:eastAsia="Arial" w:hAnsi="Arial"/>
          <w:i/>
          <w:iCs/>
          <w:color w:val="6B7280"/>
          <w:sz w:val="16"/>
          <w:szCs w:val="16"/>
        </w:rPr>
        <w:t xml:space="preserve">RideSmart Smart Profit Decision Engine — v2.0 Production Release · March 2026 · Uber · Ola · Rapido · Shadowfax · Namma Yatri (Planned)</w:t>
      </w:r>
    </w:p>
    <w:p>
      <w:pPr>
        <w:spacing w:after="0" w:before="20"/>
        <w:jc w:val="center"/>
      </w:pPr>
      <w:r>
        <w:rPr>
          <w:rFonts w:ascii="Arial" w:cs="Arial" w:eastAsia="Arial" w:hAnsi="Arial"/>
          <w:i/>
          <w:iCs/>
          <w:color w:val="6B7280"/>
          <w:sz w:val="16"/>
          <w:szCs w:val="16"/>
        </w:rPr>
        <w:t xml:space="preserve">16 review issues resolved · All formulas verified · Code and spec in full alignment</w:t>
      </w:r>
    </w:p>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0"/>
      <w:gridCol w:w="4080"/>
    </w:tblGrid>
    <w:tr>
      <w:tc>
        <w:tcPr>
          <w:tcW w:type="dxa" w:w="6000"/>
          <w:tcBorders>
            <w:top w:val="none" w:color="FFFFFF" w:sz="0"/>
            <w:left w:val="none" w:color="FFFFFF" w:sz="0"/>
            <w:bottom w:val="none" w:color="FFFFFF" w:sz="0"/>
            <w:right w:val="none" w:color="FFFFFF" w:sz="0"/>
          </w:tcBorders>
        </w:tcPr>
        <w:p>
          <w:r>
            <w:rPr>
              <w:rFonts w:ascii="Arial" w:cs="Arial" w:eastAsia="Arial" w:hAnsi="Arial"/>
              <w:b/>
              <w:bCs/>
              <w:color w:val="0D2137"/>
              <w:sz w:val="18"/>
              <w:szCs w:val="18"/>
            </w:rPr>
            <w:t xml:space="preserve">RIDESMART · Smart Profit Decision Engine</w:t>
          </w:r>
        </w:p>
      </w:tc>
      <w:tc>
        <w:tcPr>
          <w:tcW w:type="dxa" w:w="4080"/>
          <w:tcBorders>
            <w:top w:val="none" w:color="FFFFFF" w:sz="0"/>
            <w:left w:val="none" w:color="FFFFFF" w:sz="0"/>
            <w:bottom w:val="none" w:color="FFFFFF" w:sz="0"/>
            <w:right w:val="none" w:color="FFFFFF" w:sz="0"/>
          </w:tcBorders>
        </w:tcPr>
        <w:p>
          <w:pPr>
            <w:jc w:val="right"/>
          </w:pPr>
          <w:r>
            <w:rPr>
              <w:rFonts w:ascii="Arial" w:cs="Arial" w:eastAsia="Arial" w:hAnsi="Arial"/>
              <w:color w:val="6B7280"/>
              <w:sz w:val="16"/>
              <w:szCs w:val="16"/>
            </w:rPr>
            <w:t xml:space="preserve">v2.0 Production Release · p.</w:t>
          </w:r>
          <w:r>
            <w:rPr>
              <w:rFonts w:ascii="Arial" w:cs="Arial" w:eastAsia="Arial" w:hAnsi="Arial"/>
              <w:color w:val="6B7280"/>
              <w:sz w:val="16"/>
              <w:szCs w:val="16"/>
            </w:rPr>
            <w:fldChar w:fldCharType="begin"/>
            <w:instrText xml:space="preserve">PAGE</w:instrText>
            <w:fldChar w:fldCharType="separate"/>
            <w:fldChar w:fldCharType="end"/>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2026-03-11T20:01:57.911Z</dcterms:created>
  <dcterms:modified xsi:type="dcterms:W3CDTF">2026-03-11T20:01:57.914Z</dcterms:modified>
</cp:coreProperties>
</file>

<file path=docProps/custom.xml><?xml version="1.0" encoding="utf-8"?>
<Properties xmlns="http://schemas.openxmlformats.org/officeDocument/2006/custom-properties" xmlns:vt="http://schemas.openxmlformats.org/officeDocument/2006/docPropsVTypes"/>
</file>