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E54" w:rsidRDefault="00A40E54">
      <w:pPr>
        <w:pStyle w:val="Heading1"/>
      </w:pPr>
      <w:r>
        <w:t>Phenotyping of Human PBMC using</w:t>
      </w:r>
      <w:r w:rsidR="00C53FB0">
        <w:t xml:space="preserve"> Stain 48 </w:t>
      </w:r>
      <w:r>
        <w:t>Lyoplate</w:t>
      </w:r>
    </w:p>
    <w:p w:rsidR="00A40E54" w:rsidRDefault="00A40E54">
      <w:pPr>
        <w:rPr>
          <w:b/>
          <w:sz w:val="28"/>
        </w:rPr>
      </w:pPr>
    </w:p>
    <w:p w:rsidR="00A40E54" w:rsidRDefault="00A40E54">
      <w:pPr>
        <w:numPr>
          <w:ilvl w:val="0"/>
          <w:numId w:val="1"/>
        </w:numPr>
        <w:rPr>
          <w:b/>
          <w:sz w:val="28"/>
        </w:rPr>
      </w:pPr>
      <w:r>
        <w:rPr>
          <w:b/>
          <w:sz w:val="28"/>
        </w:rPr>
        <w:t>Principle</w:t>
      </w:r>
    </w:p>
    <w:p w:rsidR="00A40E54" w:rsidRDefault="00A40E54">
      <w:pPr>
        <w:ind w:left="360"/>
        <w:rPr>
          <w:b/>
          <w:sz w:val="28"/>
        </w:rPr>
      </w:pPr>
    </w:p>
    <w:p w:rsidR="00A40E54" w:rsidRDefault="00A40E54">
      <w:pPr>
        <w:ind w:left="720"/>
        <w:rPr>
          <w:sz w:val="28"/>
        </w:rPr>
      </w:pPr>
      <w:r>
        <w:rPr>
          <w:sz w:val="28"/>
        </w:rPr>
        <w:t>In this protocol, we use lyophilized cocktails of fluorescent-labeled antibodies preconfigu</w:t>
      </w:r>
      <w:r w:rsidR="00CF4826">
        <w:rPr>
          <w:sz w:val="28"/>
        </w:rPr>
        <w:t>red in 96-well plates (custom-designed Lyoplate</w:t>
      </w:r>
      <w:r>
        <w:rPr>
          <w:sz w:val="28"/>
        </w:rPr>
        <w:t>) to stain PBMC that have been previously cryopreserved. We use an LSRII flow cytometer to acquire the fluorescence data. Subsequent analysis of the fluorescence data using FlowJo software allows for cell types to be analy</w:t>
      </w:r>
      <w:r w:rsidR="00FF258D">
        <w:rPr>
          <w:sz w:val="28"/>
        </w:rPr>
        <w:t>z</w:t>
      </w:r>
      <w:r>
        <w:rPr>
          <w:sz w:val="28"/>
        </w:rPr>
        <w:t>ed based on cell size, internal complexity, and relative fluorescence intensity in each color. The percentage of each cell type is determined and reported as a percent of the parent cell type.</w:t>
      </w:r>
    </w:p>
    <w:p w:rsidR="00A40E54" w:rsidRDefault="00A40E54">
      <w:pPr>
        <w:rPr>
          <w:sz w:val="28"/>
        </w:rPr>
      </w:pPr>
    </w:p>
    <w:p w:rsidR="00A40E54" w:rsidRDefault="00A40E54">
      <w:pPr>
        <w:numPr>
          <w:ilvl w:val="0"/>
          <w:numId w:val="1"/>
        </w:numPr>
        <w:rPr>
          <w:sz w:val="28"/>
        </w:rPr>
      </w:pPr>
      <w:r>
        <w:rPr>
          <w:b/>
          <w:sz w:val="28"/>
        </w:rPr>
        <w:t>Materials and Equipment</w:t>
      </w:r>
    </w:p>
    <w:p w:rsidR="00A40E54" w:rsidRDefault="00A40E54">
      <w:pPr>
        <w:rPr>
          <w:b/>
          <w:sz w:val="28"/>
        </w:rPr>
      </w:pPr>
    </w:p>
    <w:p w:rsidR="00CF4826" w:rsidRDefault="00CF4826">
      <w:pPr>
        <w:numPr>
          <w:ilvl w:val="1"/>
          <w:numId w:val="1"/>
        </w:numPr>
        <w:rPr>
          <w:sz w:val="28"/>
        </w:rPr>
      </w:pPr>
      <w:r>
        <w:rPr>
          <w:sz w:val="28"/>
        </w:rPr>
        <w:t>Custom-designed Becton Dickinson lyoplate, cat. no. “</w:t>
      </w:r>
      <w:r w:rsidRPr="00CF4826">
        <w:rPr>
          <w:sz w:val="28"/>
        </w:rPr>
        <w:t>Stain 48</w:t>
      </w:r>
      <w:r>
        <w:rPr>
          <w:sz w:val="28"/>
        </w:rPr>
        <w:t>”</w:t>
      </w:r>
    </w:p>
    <w:p w:rsidR="00F34B79" w:rsidRDefault="00F34B79">
      <w:pPr>
        <w:numPr>
          <w:ilvl w:val="1"/>
          <w:numId w:val="1"/>
        </w:numPr>
        <w:rPr>
          <w:sz w:val="28"/>
        </w:rPr>
      </w:pPr>
      <w:r>
        <w:t>CD85j FITC, CD28 PE, TCR</w:t>
      </w:r>
      <w:r>
        <w:rPr>
          <w:rFonts w:ascii="Symbol" w:hAnsi="Symbol"/>
        </w:rPr>
        <w:t></w:t>
      </w:r>
      <w:r>
        <w:rPr>
          <w:rFonts w:ascii="Symbol" w:hAnsi="Symbol"/>
        </w:rPr>
        <w:t></w:t>
      </w:r>
      <w:r>
        <w:t xml:space="preserve"> FITC, PD-1 PE antibodies</w:t>
      </w:r>
    </w:p>
    <w:p w:rsidR="00A40E54" w:rsidRDefault="00A40E54">
      <w:pPr>
        <w:numPr>
          <w:ilvl w:val="1"/>
          <w:numId w:val="1"/>
        </w:numPr>
        <w:rPr>
          <w:sz w:val="28"/>
        </w:rPr>
      </w:pPr>
      <w:r>
        <w:rPr>
          <w:sz w:val="28"/>
        </w:rPr>
        <w:t>PBMC, fresh or thawed frozen</w:t>
      </w:r>
    </w:p>
    <w:p w:rsidR="00A40E54" w:rsidRDefault="00A40E54">
      <w:pPr>
        <w:numPr>
          <w:ilvl w:val="1"/>
          <w:numId w:val="1"/>
        </w:numPr>
        <w:rPr>
          <w:sz w:val="28"/>
        </w:rPr>
      </w:pPr>
      <w:r>
        <w:rPr>
          <w:sz w:val="28"/>
        </w:rPr>
        <w:t>Complete RPMI (RPMI with 10% FBS, P/S, glutamine)</w:t>
      </w:r>
    </w:p>
    <w:p w:rsidR="00A40E54" w:rsidRDefault="00A40E54">
      <w:pPr>
        <w:numPr>
          <w:ilvl w:val="1"/>
          <w:numId w:val="1"/>
        </w:numPr>
        <w:rPr>
          <w:sz w:val="28"/>
        </w:rPr>
      </w:pPr>
      <w:r>
        <w:rPr>
          <w:sz w:val="28"/>
        </w:rPr>
        <w:t>Benzonase (25X10</w:t>
      </w:r>
      <w:r>
        <w:rPr>
          <w:sz w:val="28"/>
          <w:vertAlign w:val="superscript"/>
        </w:rPr>
        <w:t>5</w:t>
      </w:r>
      <w:r>
        <w:rPr>
          <w:sz w:val="28"/>
        </w:rPr>
        <w:t xml:space="preserve"> U/ml)</w:t>
      </w:r>
    </w:p>
    <w:p w:rsidR="00A40E54" w:rsidRDefault="00A40E54">
      <w:pPr>
        <w:numPr>
          <w:ilvl w:val="1"/>
          <w:numId w:val="1"/>
        </w:numPr>
        <w:rPr>
          <w:sz w:val="28"/>
        </w:rPr>
      </w:pPr>
      <w:r>
        <w:rPr>
          <w:sz w:val="28"/>
        </w:rPr>
        <w:t>2% Para-formaldehyde (PFA)</w:t>
      </w:r>
    </w:p>
    <w:p w:rsidR="00A40E54" w:rsidRDefault="00A40E54">
      <w:pPr>
        <w:numPr>
          <w:ilvl w:val="1"/>
          <w:numId w:val="1"/>
        </w:numPr>
        <w:rPr>
          <w:sz w:val="28"/>
        </w:rPr>
      </w:pPr>
      <w:r>
        <w:rPr>
          <w:sz w:val="28"/>
        </w:rPr>
        <w:t>FACS buffer (PBS with 2% FBS and 0.1% Na Azide)</w:t>
      </w:r>
    </w:p>
    <w:p w:rsidR="00A40E54" w:rsidRDefault="00A40E54">
      <w:pPr>
        <w:numPr>
          <w:ilvl w:val="1"/>
          <w:numId w:val="1"/>
        </w:numPr>
        <w:rPr>
          <w:sz w:val="28"/>
        </w:rPr>
      </w:pPr>
      <w:r>
        <w:rPr>
          <w:sz w:val="28"/>
        </w:rPr>
        <w:t>Phenotyping antibodies</w:t>
      </w:r>
    </w:p>
    <w:p w:rsidR="00A40E54" w:rsidRDefault="00A40E54">
      <w:pPr>
        <w:numPr>
          <w:ilvl w:val="1"/>
          <w:numId w:val="1"/>
        </w:numPr>
        <w:rPr>
          <w:sz w:val="28"/>
        </w:rPr>
      </w:pPr>
      <w:r>
        <w:rPr>
          <w:sz w:val="28"/>
        </w:rPr>
        <w:t>37</w:t>
      </w:r>
      <w:r>
        <w:rPr>
          <w:sz w:val="28"/>
        </w:rPr>
        <w:sym w:font="Symbol" w:char="F0B0"/>
      </w:r>
      <w:r>
        <w:rPr>
          <w:sz w:val="28"/>
        </w:rPr>
        <w:t>C water bath</w:t>
      </w:r>
    </w:p>
    <w:p w:rsidR="00A40E54" w:rsidRDefault="00A40E54">
      <w:pPr>
        <w:numPr>
          <w:ilvl w:val="1"/>
          <w:numId w:val="1"/>
        </w:numPr>
        <w:rPr>
          <w:sz w:val="28"/>
        </w:rPr>
      </w:pPr>
      <w:r>
        <w:rPr>
          <w:sz w:val="28"/>
        </w:rPr>
        <w:t xml:space="preserve">96-well plate </w:t>
      </w:r>
    </w:p>
    <w:p w:rsidR="00A40E54" w:rsidRDefault="00A40E54">
      <w:pPr>
        <w:numPr>
          <w:ilvl w:val="1"/>
          <w:numId w:val="1"/>
        </w:numPr>
        <w:rPr>
          <w:sz w:val="28"/>
        </w:rPr>
      </w:pPr>
      <w:r>
        <w:rPr>
          <w:sz w:val="28"/>
        </w:rPr>
        <w:t>Biosafety cabinet</w:t>
      </w:r>
    </w:p>
    <w:p w:rsidR="00A40E54" w:rsidRDefault="00A40E54">
      <w:pPr>
        <w:numPr>
          <w:ilvl w:val="1"/>
          <w:numId w:val="1"/>
        </w:numPr>
        <w:rPr>
          <w:sz w:val="28"/>
        </w:rPr>
      </w:pPr>
      <w:r>
        <w:rPr>
          <w:sz w:val="28"/>
        </w:rPr>
        <w:t>Centrifuge</w:t>
      </w:r>
    </w:p>
    <w:p w:rsidR="00A40E54" w:rsidRDefault="00A40E54">
      <w:pPr>
        <w:numPr>
          <w:ilvl w:val="1"/>
          <w:numId w:val="1"/>
        </w:numPr>
        <w:rPr>
          <w:sz w:val="28"/>
        </w:rPr>
      </w:pPr>
      <w:r>
        <w:rPr>
          <w:sz w:val="28"/>
        </w:rPr>
        <w:t>Calibrated pipettes</w:t>
      </w:r>
    </w:p>
    <w:p w:rsidR="00A40E54" w:rsidRDefault="00A40E54">
      <w:pPr>
        <w:numPr>
          <w:ilvl w:val="1"/>
          <w:numId w:val="1"/>
        </w:numPr>
        <w:rPr>
          <w:sz w:val="28"/>
        </w:rPr>
      </w:pPr>
      <w:r>
        <w:rPr>
          <w:sz w:val="28"/>
        </w:rPr>
        <w:t>ViCell or Hemocytometer cell counter</w:t>
      </w:r>
    </w:p>
    <w:p w:rsidR="00A40E54" w:rsidRDefault="00A40E54">
      <w:pPr>
        <w:rPr>
          <w:sz w:val="28"/>
        </w:rPr>
      </w:pPr>
    </w:p>
    <w:p w:rsidR="00A40E54" w:rsidRDefault="00A40E54">
      <w:pPr>
        <w:numPr>
          <w:ilvl w:val="0"/>
          <w:numId w:val="1"/>
        </w:numPr>
        <w:rPr>
          <w:b/>
          <w:sz w:val="28"/>
        </w:rPr>
      </w:pPr>
      <w:r>
        <w:rPr>
          <w:b/>
          <w:sz w:val="28"/>
        </w:rPr>
        <w:t>Procedure</w:t>
      </w:r>
    </w:p>
    <w:p w:rsidR="00A40E54" w:rsidRDefault="00A40E54">
      <w:pPr>
        <w:rPr>
          <w:b/>
          <w:sz w:val="28"/>
        </w:rPr>
      </w:pPr>
    </w:p>
    <w:p w:rsidR="00A40E54" w:rsidRDefault="00A40E54">
      <w:pPr>
        <w:rPr>
          <w:b/>
          <w:sz w:val="28"/>
        </w:rPr>
      </w:pPr>
      <w:r>
        <w:rPr>
          <w:b/>
          <w:sz w:val="28"/>
        </w:rPr>
        <w:t>Thaw PBMC</w:t>
      </w:r>
    </w:p>
    <w:p w:rsidR="00A40E54" w:rsidRDefault="00A40E54">
      <w:pPr>
        <w:rPr>
          <w:b/>
          <w:sz w:val="28"/>
        </w:rPr>
      </w:pPr>
    </w:p>
    <w:p w:rsidR="00A40E54" w:rsidRDefault="00A40E54">
      <w:pPr>
        <w:numPr>
          <w:ilvl w:val="1"/>
          <w:numId w:val="1"/>
        </w:numPr>
        <w:rPr>
          <w:sz w:val="28"/>
        </w:rPr>
      </w:pPr>
      <w:r>
        <w:rPr>
          <w:sz w:val="28"/>
        </w:rPr>
        <w:t>Warm media to 37</w:t>
      </w:r>
      <w:r>
        <w:rPr>
          <w:sz w:val="28"/>
        </w:rPr>
        <w:sym w:font="Symbol" w:char="F0B0"/>
      </w:r>
      <w:r>
        <w:rPr>
          <w:sz w:val="28"/>
        </w:rPr>
        <w:t xml:space="preserve">C in water bath. Each sample will require 20ml of media with benzonase. Calculate the amount needed to thaw all samples, and prepare a separate aliquot of warm media with </w:t>
      </w:r>
      <w:r>
        <w:rPr>
          <w:sz w:val="28"/>
        </w:rPr>
        <w:lastRenderedPageBreak/>
        <w:t xml:space="preserve">1:10000 benzonase (25 U/ml). Thaw no more than 10 samples at a time. </w:t>
      </w:r>
    </w:p>
    <w:p w:rsidR="00A40E54" w:rsidRDefault="00A40E54">
      <w:pPr>
        <w:numPr>
          <w:ilvl w:val="1"/>
          <w:numId w:val="1"/>
        </w:numPr>
        <w:rPr>
          <w:sz w:val="28"/>
        </w:rPr>
      </w:pPr>
      <w:r>
        <w:rPr>
          <w:sz w:val="28"/>
        </w:rPr>
        <w:t>Remove samples from liquid nitrogen and transport to lab on dry ice.</w:t>
      </w:r>
    </w:p>
    <w:p w:rsidR="00A40E54" w:rsidRDefault="00A40E54">
      <w:pPr>
        <w:numPr>
          <w:ilvl w:val="1"/>
          <w:numId w:val="1"/>
        </w:numPr>
        <w:rPr>
          <w:sz w:val="28"/>
        </w:rPr>
      </w:pPr>
      <w:r>
        <w:rPr>
          <w:sz w:val="28"/>
        </w:rPr>
        <w:t xml:space="preserve">Place 10ml of warmed benzonase media into a 15ml tube, making a separate tube for each sample. </w:t>
      </w:r>
    </w:p>
    <w:p w:rsidR="00A40E54" w:rsidRDefault="00A40E54">
      <w:pPr>
        <w:numPr>
          <w:ilvl w:val="1"/>
          <w:numId w:val="1"/>
        </w:numPr>
        <w:rPr>
          <w:sz w:val="28"/>
        </w:rPr>
      </w:pPr>
      <w:r>
        <w:rPr>
          <w:sz w:val="28"/>
        </w:rPr>
        <w:t>Thaw frozen vials in 37</w:t>
      </w:r>
      <w:r>
        <w:rPr>
          <w:sz w:val="28"/>
        </w:rPr>
        <w:sym w:font="Symbol" w:char="F0B0"/>
      </w:r>
      <w:r>
        <w:rPr>
          <w:sz w:val="28"/>
        </w:rPr>
        <w:t>C water bath.</w:t>
      </w:r>
    </w:p>
    <w:p w:rsidR="00A40E54" w:rsidRDefault="00A40E54">
      <w:pPr>
        <w:numPr>
          <w:ilvl w:val="1"/>
          <w:numId w:val="1"/>
        </w:numPr>
        <w:rPr>
          <w:sz w:val="28"/>
        </w:rPr>
      </w:pPr>
      <w:r>
        <w:rPr>
          <w:sz w:val="28"/>
        </w:rPr>
        <w:t xml:space="preserve">When cells are nearly completely thawed, carry to hood. </w:t>
      </w:r>
    </w:p>
    <w:p w:rsidR="00A40E54" w:rsidRDefault="00A40E54">
      <w:pPr>
        <w:numPr>
          <w:ilvl w:val="1"/>
          <w:numId w:val="1"/>
        </w:numPr>
        <w:rPr>
          <w:sz w:val="28"/>
        </w:rPr>
      </w:pPr>
      <w:r>
        <w:rPr>
          <w:sz w:val="28"/>
        </w:rPr>
        <w:t>Add 1ml of warm benzonase media from appropriately labeled centrifuge tube slowly to the cells, then transfer the cells to the centrifuge tube. Rinse vial with more media from centrifuge tube to retrieve all cells.</w:t>
      </w:r>
    </w:p>
    <w:p w:rsidR="00A40E54" w:rsidRDefault="00A40E54">
      <w:pPr>
        <w:numPr>
          <w:ilvl w:val="1"/>
          <w:numId w:val="1"/>
        </w:numPr>
        <w:rPr>
          <w:sz w:val="28"/>
        </w:rPr>
      </w:pPr>
      <w:r>
        <w:rPr>
          <w:sz w:val="28"/>
        </w:rPr>
        <w:t>Continue with the rest of the samples as quickly as possible.</w:t>
      </w:r>
    </w:p>
    <w:p w:rsidR="00A40E54" w:rsidRDefault="00A40E54">
      <w:pPr>
        <w:numPr>
          <w:ilvl w:val="1"/>
          <w:numId w:val="1"/>
        </w:numPr>
        <w:rPr>
          <w:sz w:val="28"/>
        </w:rPr>
      </w:pPr>
      <w:r>
        <w:rPr>
          <w:sz w:val="28"/>
        </w:rPr>
        <w:t>Centrifuge cells at 1400 rpm (RCF=390) for 8 minutes at room temperature.</w:t>
      </w:r>
    </w:p>
    <w:p w:rsidR="00A40E54" w:rsidRDefault="00A40E54">
      <w:pPr>
        <w:numPr>
          <w:ilvl w:val="1"/>
          <w:numId w:val="1"/>
        </w:numPr>
        <w:rPr>
          <w:sz w:val="28"/>
        </w:rPr>
      </w:pPr>
      <w:r>
        <w:rPr>
          <w:sz w:val="28"/>
        </w:rPr>
        <w:t>Remove supernatant from the cells and resuspend the pellet by tapping the tube.</w:t>
      </w:r>
    </w:p>
    <w:p w:rsidR="00A40E54" w:rsidRDefault="00A40E54">
      <w:pPr>
        <w:numPr>
          <w:ilvl w:val="1"/>
          <w:numId w:val="1"/>
        </w:numPr>
        <w:rPr>
          <w:sz w:val="28"/>
        </w:rPr>
      </w:pPr>
      <w:r>
        <w:rPr>
          <w:sz w:val="28"/>
        </w:rPr>
        <w:t>Gently resuspend the pellet in 1ml warmed benzonase media. Filter cells through a 70 micron cell strainer if needed (i.e. if you observe any clumps). Add 9ml warmed benzonase media to the tube to make volume 10ml altogether.</w:t>
      </w:r>
    </w:p>
    <w:p w:rsidR="00A40E54" w:rsidRDefault="00A40E54">
      <w:pPr>
        <w:numPr>
          <w:ilvl w:val="1"/>
          <w:numId w:val="1"/>
        </w:numPr>
        <w:rPr>
          <w:sz w:val="28"/>
        </w:rPr>
      </w:pPr>
      <w:r>
        <w:rPr>
          <w:sz w:val="28"/>
        </w:rPr>
        <w:t>Centrifuge cells at 1400 rpm (RCF=390) for 8 minutes at room temperature.</w:t>
      </w:r>
    </w:p>
    <w:p w:rsidR="00A40E54" w:rsidRDefault="00A40E54">
      <w:pPr>
        <w:numPr>
          <w:ilvl w:val="1"/>
          <w:numId w:val="1"/>
        </w:numPr>
        <w:rPr>
          <w:sz w:val="28"/>
        </w:rPr>
      </w:pPr>
      <w:r>
        <w:rPr>
          <w:sz w:val="28"/>
        </w:rPr>
        <w:t>Remove supernatant from the cells and resuspend the pellet by tapping the tube.</w:t>
      </w:r>
    </w:p>
    <w:p w:rsidR="00A40E54" w:rsidRDefault="00A40E54">
      <w:pPr>
        <w:numPr>
          <w:ilvl w:val="1"/>
          <w:numId w:val="1"/>
        </w:numPr>
        <w:rPr>
          <w:sz w:val="28"/>
        </w:rPr>
      </w:pPr>
      <w:r>
        <w:rPr>
          <w:sz w:val="28"/>
        </w:rPr>
        <w:t>Resuspend cells in 0.5ml FACS buffer.</w:t>
      </w:r>
    </w:p>
    <w:p w:rsidR="00A40E54" w:rsidRDefault="00A40E54">
      <w:pPr>
        <w:numPr>
          <w:ilvl w:val="1"/>
          <w:numId w:val="1"/>
        </w:numPr>
        <w:rPr>
          <w:sz w:val="28"/>
        </w:rPr>
      </w:pPr>
      <w:r>
        <w:rPr>
          <w:sz w:val="28"/>
        </w:rPr>
        <w:t xml:space="preserve">Count cells with </w:t>
      </w:r>
      <w:r w:rsidR="00FF258D">
        <w:rPr>
          <w:sz w:val="28"/>
        </w:rPr>
        <w:t>ViCell</w:t>
      </w:r>
      <w:r>
        <w:rPr>
          <w:sz w:val="28"/>
        </w:rPr>
        <w:t xml:space="preserve"> (or hemocytometer). To count, take 20ul cells and dilute with 480ul PBS in </w:t>
      </w:r>
      <w:r w:rsidR="00FF258D">
        <w:rPr>
          <w:sz w:val="28"/>
        </w:rPr>
        <w:t>ViCell counting chamber. Load onto ViCell</w:t>
      </w:r>
      <w:r>
        <w:rPr>
          <w:sz w:val="28"/>
        </w:rPr>
        <w:t xml:space="preserve"> as PBMC with a 1:25 dilution factor.</w:t>
      </w:r>
    </w:p>
    <w:p w:rsidR="00A40E54" w:rsidRDefault="00A40E54">
      <w:pPr>
        <w:numPr>
          <w:ilvl w:val="1"/>
          <w:numId w:val="1"/>
        </w:numPr>
        <w:rPr>
          <w:sz w:val="28"/>
        </w:rPr>
      </w:pPr>
      <w:r>
        <w:rPr>
          <w:sz w:val="28"/>
        </w:rPr>
        <w:t>Adjust the cell concentration to 10 * 10</w:t>
      </w:r>
      <w:r>
        <w:rPr>
          <w:sz w:val="28"/>
          <w:vertAlign w:val="superscript"/>
        </w:rPr>
        <w:t>6</w:t>
      </w:r>
      <w:r>
        <w:rPr>
          <w:sz w:val="28"/>
        </w:rPr>
        <w:t xml:space="preserve"> cells/ml with FACS buffer. Note-it is typical to recover 4-8 * 10</w:t>
      </w:r>
      <w:r>
        <w:rPr>
          <w:sz w:val="28"/>
          <w:vertAlign w:val="superscript"/>
        </w:rPr>
        <w:t>6</w:t>
      </w:r>
      <w:r>
        <w:rPr>
          <w:sz w:val="28"/>
        </w:rPr>
        <w:t xml:space="preserve"> cells from a vial frozen at 10 * 10</w:t>
      </w:r>
      <w:r>
        <w:rPr>
          <w:sz w:val="28"/>
          <w:vertAlign w:val="superscript"/>
        </w:rPr>
        <w:t>6</w:t>
      </w:r>
      <w:r>
        <w:rPr>
          <w:sz w:val="28"/>
        </w:rPr>
        <w:t xml:space="preserve"> cells/vial. Up to 10 * 10</w:t>
      </w:r>
      <w:r>
        <w:rPr>
          <w:sz w:val="28"/>
          <w:vertAlign w:val="superscript"/>
        </w:rPr>
        <w:t>6</w:t>
      </w:r>
      <w:r>
        <w:rPr>
          <w:sz w:val="28"/>
        </w:rPr>
        <w:t xml:space="preserve"> cells, no need to dilute more, just leave in 0.5 ml FACS buffer.</w:t>
      </w:r>
    </w:p>
    <w:p w:rsidR="00A40E54" w:rsidRDefault="00A40E54">
      <w:pPr>
        <w:ind w:left="360"/>
        <w:rPr>
          <w:b/>
          <w:sz w:val="28"/>
        </w:rPr>
      </w:pPr>
    </w:p>
    <w:p w:rsidR="00A40E54" w:rsidRDefault="00A40E54">
      <w:pPr>
        <w:ind w:left="360"/>
        <w:rPr>
          <w:b/>
          <w:sz w:val="28"/>
        </w:rPr>
      </w:pPr>
      <w:r>
        <w:rPr>
          <w:b/>
          <w:sz w:val="28"/>
        </w:rPr>
        <w:t>Stain cells</w:t>
      </w:r>
    </w:p>
    <w:p w:rsidR="00A40E54" w:rsidRDefault="00A40E54">
      <w:pPr>
        <w:ind w:left="360"/>
        <w:rPr>
          <w:b/>
          <w:sz w:val="28"/>
        </w:rPr>
      </w:pPr>
    </w:p>
    <w:p w:rsidR="00A40E54" w:rsidRDefault="00A40E54">
      <w:pPr>
        <w:pStyle w:val="BodyTextIndent"/>
        <w:numPr>
          <w:ilvl w:val="1"/>
          <w:numId w:val="7"/>
        </w:numPr>
      </w:pPr>
      <w:r>
        <w:t>Add 50-60 µl of cells from each donor into the first 7 wells of each sample row (C-H) on the Lyoplate. [Note that you can cut the foil seal so as to only expose the rows you are using, if phenotyping fewer than 6 donors at once].  Add cells to the side of each well without touching pellets and let sit for 2-3 mins, then mix up and down 5-6 times using a multichannel pipette.  Avoid creating bubbles.</w:t>
      </w:r>
    </w:p>
    <w:p w:rsidR="00A40E54" w:rsidRDefault="00A40E54">
      <w:pPr>
        <w:pStyle w:val="BodyTextIndent"/>
        <w:numPr>
          <w:ilvl w:val="1"/>
          <w:numId w:val="7"/>
        </w:numPr>
      </w:pPr>
      <w:r>
        <w:t xml:space="preserve">Combine 10 drops each of positive and negative BD anti-mouse Ig CompBeads (blue and white cap dropper vials) in an empty FACS tube. Add 50 µl of the combined beads to all the compensation wells (row A and well B1). </w:t>
      </w:r>
    </w:p>
    <w:p w:rsidR="00A40E54" w:rsidRDefault="00A40E54">
      <w:pPr>
        <w:pStyle w:val="BodyTextIndent"/>
        <w:numPr>
          <w:ilvl w:val="1"/>
          <w:numId w:val="7"/>
        </w:numPr>
      </w:pPr>
      <w:r>
        <w:t>Add 10 µL each of CD85j FITC and CD28 PE antibodies into each sample well of column 1 to complete cocktail 1.  Add 10 µL each of TCR</w:t>
      </w:r>
      <w:r>
        <w:rPr>
          <w:rFonts w:ascii="Symbol" w:hAnsi="Symbol"/>
        </w:rPr>
        <w:t></w:t>
      </w:r>
      <w:r>
        <w:rPr>
          <w:rFonts w:ascii="Symbol" w:hAnsi="Symbol"/>
        </w:rPr>
        <w:t></w:t>
      </w:r>
      <w:r>
        <w:t xml:space="preserve"> FITC and PD-1 PE to each sample well of column 7 to complete cocktail 7.</w:t>
      </w:r>
    </w:p>
    <w:p w:rsidR="00A40E54" w:rsidRDefault="00A40E54">
      <w:pPr>
        <w:pStyle w:val="BodyTextIndent"/>
        <w:numPr>
          <w:ilvl w:val="1"/>
          <w:numId w:val="7"/>
        </w:numPr>
      </w:pPr>
      <w:r>
        <w:t>Incubate 45-60 minutes at room temperature with gentle shaking.</w:t>
      </w:r>
    </w:p>
    <w:p w:rsidR="00A40E54" w:rsidRDefault="00A40E54">
      <w:pPr>
        <w:pStyle w:val="BodyTextIndent"/>
        <w:numPr>
          <w:ilvl w:val="1"/>
          <w:numId w:val="7"/>
        </w:numPr>
      </w:pPr>
      <w:r>
        <w:t>Add 150 µl of FACS buffer, without pipetting up and down, and spin at 1200 rpm, 2min, @ 4˚C, for the first wash.   Aspirate, resuspend in 200 µl FACS buffer &amp; spin 1200 rpm, 2 min, @ 4˚C, for a second wash. Repeat washing with 200 µl FACS buffer for a third and fourth wash.  After the 4</w:t>
      </w:r>
      <w:r>
        <w:rPr>
          <w:vertAlign w:val="superscript"/>
        </w:rPr>
        <w:t>th</w:t>
      </w:r>
      <w:r>
        <w:t xml:space="preserve"> wash, resuspend wells in 200 µL FACS buffer, cover with foil and keep at 4˚C until ready to run on LSR II.</w:t>
      </w:r>
    </w:p>
    <w:p w:rsidR="00A40E54" w:rsidRDefault="00A40E54">
      <w:pPr>
        <w:pStyle w:val="BodyTextIndent"/>
        <w:numPr>
          <w:ilvl w:val="1"/>
          <w:numId w:val="7"/>
        </w:numPr>
      </w:pPr>
      <w:r>
        <w:t>Acquire data on LSRII.  Create a new blank experiment using baseline CST settings, apply Lyoplate application settings, and apply the appropriate plate template. Specific sample ID’s are added into the plate template prior to acquiring data.  Record the compensation specimen, then calculate compensation, and record the experimental samples (Record 20,000-50,000 viable events/lymphocytes per well for each experimental sample).</w:t>
      </w:r>
    </w:p>
    <w:p w:rsidR="00A40E54" w:rsidRDefault="00A40E54">
      <w:pPr>
        <w:ind w:left="360"/>
        <w:rPr>
          <w:sz w:val="28"/>
        </w:rPr>
      </w:pPr>
    </w:p>
    <w:p w:rsidR="00A40E54" w:rsidRDefault="00A40E54">
      <w:pPr>
        <w:pStyle w:val="Heading2"/>
      </w:pPr>
      <w:r>
        <w:t>Analyze Data</w:t>
      </w:r>
    </w:p>
    <w:p w:rsidR="00A40E54" w:rsidRDefault="00A40E54">
      <w:pPr>
        <w:rPr>
          <w:sz w:val="28"/>
        </w:rPr>
      </w:pPr>
    </w:p>
    <w:p w:rsidR="00A40E54" w:rsidRDefault="00A40E54">
      <w:pPr>
        <w:numPr>
          <w:ilvl w:val="1"/>
          <w:numId w:val="7"/>
        </w:numPr>
        <w:rPr>
          <w:sz w:val="28"/>
        </w:rPr>
      </w:pPr>
      <w:r>
        <w:rPr>
          <w:sz w:val="28"/>
        </w:rPr>
        <w:t>Analyze data using FlowJo software using appropriate templates created for each of the seven tubes.  Adjust gates on a donor-specific basis, if necessary, to control for any differences in background or positive staining intensity.</w:t>
      </w:r>
    </w:p>
    <w:p w:rsidR="00A40E54" w:rsidRDefault="00A40E54">
      <w:pPr>
        <w:numPr>
          <w:ilvl w:val="1"/>
          <w:numId w:val="7"/>
        </w:numPr>
        <w:rPr>
          <w:sz w:val="28"/>
        </w:rPr>
      </w:pPr>
      <w:r>
        <w:rPr>
          <w:sz w:val="28"/>
        </w:rPr>
        <w:t>Export the statistics for each gated population to an Excel spreadsheet.</w:t>
      </w:r>
    </w:p>
    <w:p w:rsidR="00A40E54" w:rsidRDefault="00A40E54">
      <w:pPr>
        <w:ind w:left="360"/>
        <w:rPr>
          <w:sz w:val="28"/>
        </w:rPr>
      </w:pPr>
    </w:p>
    <w:tbl>
      <w:tblPr>
        <w:tblW w:w="9921" w:type="dxa"/>
        <w:tblInd w:w="87" w:type="dxa"/>
        <w:tblLook w:val="04A0"/>
      </w:tblPr>
      <w:tblGrid>
        <w:gridCol w:w="1112"/>
        <w:gridCol w:w="1320"/>
        <w:gridCol w:w="1280"/>
        <w:gridCol w:w="1420"/>
        <w:gridCol w:w="289"/>
        <w:gridCol w:w="1112"/>
        <w:gridCol w:w="1678"/>
        <w:gridCol w:w="720"/>
        <w:gridCol w:w="990"/>
      </w:tblGrid>
      <w:tr w:rsidR="00FF111B" w:rsidRPr="00FF111B" w:rsidTr="00FF111B">
        <w:trPr>
          <w:trHeight w:val="255"/>
        </w:trPr>
        <w:tc>
          <w:tcPr>
            <w:tcW w:w="3712" w:type="dxa"/>
            <w:gridSpan w:val="3"/>
            <w:tcBorders>
              <w:top w:val="nil"/>
              <w:left w:val="nil"/>
              <w:bottom w:val="nil"/>
              <w:right w:val="nil"/>
            </w:tcBorders>
            <w:shd w:val="clear" w:color="auto" w:fill="auto"/>
            <w:noWrap/>
            <w:vAlign w:val="bottom"/>
            <w:hideMark/>
          </w:tcPr>
          <w:p w:rsidR="00FF111B" w:rsidRPr="00FF111B" w:rsidRDefault="00FF111B" w:rsidP="00FF111B">
            <w:pPr>
              <w:rPr>
                <w:rFonts w:ascii="Verdana" w:hAnsi="Verdana"/>
                <w:b/>
                <w:bCs/>
                <w:sz w:val="18"/>
                <w:szCs w:val="20"/>
              </w:rPr>
            </w:pPr>
            <w:r w:rsidRPr="00FF111B">
              <w:rPr>
                <w:rFonts w:ascii="Verdana" w:hAnsi="Verdana"/>
                <w:b/>
                <w:bCs/>
                <w:sz w:val="18"/>
                <w:szCs w:val="20"/>
              </w:rPr>
              <w:t>Lyoplate composition</w:t>
            </w:r>
          </w:p>
        </w:tc>
        <w:tc>
          <w:tcPr>
            <w:tcW w:w="14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4500" w:type="dxa"/>
            <w:gridSpan w:val="4"/>
            <w:tcBorders>
              <w:top w:val="nil"/>
              <w:left w:val="nil"/>
              <w:bottom w:val="nil"/>
              <w:right w:val="nil"/>
            </w:tcBorders>
            <w:shd w:val="clear" w:color="auto" w:fill="auto"/>
            <w:noWrap/>
            <w:vAlign w:val="bottom"/>
            <w:hideMark/>
          </w:tcPr>
          <w:p w:rsidR="00FF111B" w:rsidRPr="00FF111B" w:rsidRDefault="00FF111B" w:rsidP="00FF111B">
            <w:pPr>
              <w:rPr>
                <w:rFonts w:ascii="Verdana" w:hAnsi="Verdana"/>
                <w:b/>
                <w:bCs/>
                <w:sz w:val="18"/>
                <w:szCs w:val="20"/>
              </w:rPr>
            </w:pPr>
            <w:r w:rsidRPr="00FF111B">
              <w:rPr>
                <w:rFonts w:ascii="Verdana" w:hAnsi="Verdana"/>
                <w:b/>
                <w:bCs/>
                <w:sz w:val="18"/>
                <w:szCs w:val="20"/>
              </w:rPr>
              <w:t>Antibodies added to cocktail at time of assay</w:t>
            </w:r>
          </w:p>
        </w:tc>
      </w:tr>
      <w:tr w:rsidR="00FF111B" w:rsidRPr="00A06C83" w:rsidTr="00FF111B">
        <w:trPr>
          <w:trHeight w:val="255"/>
        </w:trPr>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3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28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4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8" w:space="0" w:color="auto"/>
              <w:left w:val="single" w:sz="8" w:space="0" w:color="auto"/>
              <w:bottom w:val="single" w:sz="4" w:space="0" w:color="auto"/>
              <w:right w:val="single" w:sz="4" w:space="0" w:color="auto"/>
            </w:tcBorders>
            <w:shd w:val="clear" w:color="000000" w:fill="C0C0C0"/>
            <w:vAlign w:val="center"/>
            <w:hideMark/>
          </w:tcPr>
          <w:p w:rsidR="00FF111B" w:rsidRPr="00FF111B" w:rsidRDefault="00FF111B" w:rsidP="00FF111B">
            <w:pPr>
              <w:jc w:val="center"/>
              <w:rPr>
                <w:rFonts w:ascii="Verdana" w:hAnsi="Verdana"/>
                <w:b/>
                <w:bCs/>
                <w:color w:val="000000"/>
                <w:sz w:val="18"/>
                <w:szCs w:val="20"/>
              </w:rPr>
            </w:pPr>
            <w:r w:rsidRPr="00FF111B">
              <w:rPr>
                <w:rFonts w:ascii="Verdana" w:hAnsi="Verdana"/>
                <w:b/>
                <w:bCs/>
                <w:color w:val="000000"/>
                <w:sz w:val="18"/>
                <w:szCs w:val="20"/>
              </w:rPr>
              <w:t>Cocktail</w:t>
            </w:r>
          </w:p>
        </w:tc>
        <w:tc>
          <w:tcPr>
            <w:tcW w:w="1320" w:type="dxa"/>
            <w:tcBorders>
              <w:top w:val="single" w:sz="8" w:space="0" w:color="auto"/>
              <w:left w:val="single" w:sz="4" w:space="0" w:color="auto"/>
              <w:bottom w:val="single" w:sz="4" w:space="0" w:color="auto"/>
              <w:right w:val="single" w:sz="4" w:space="0" w:color="auto"/>
            </w:tcBorders>
            <w:shd w:val="clear" w:color="000000" w:fill="C0C0C0"/>
            <w:vAlign w:val="center"/>
            <w:hideMark/>
          </w:tcPr>
          <w:p w:rsidR="00FF111B" w:rsidRPr="00FF111B" w:rsidRDefault="00FF111B" w:rsidP="00FF111B">
            <w:pPr>
              <w:jc w:val="center"/>
              <w:rPr>
                <w:rFonts w:ascii="Verdana" w:hAnsi="Verdana"/>
                <w:b/>
                <w:bCs/>
                <w:color w:val="000000"/>
                <w:sz w:val="18"/>
                <w:szCs w:val="20"/>
              </w:rPr>
            </w:pPr>
            <w:r w:rsidRPr="00FF111B">
              <w:rPr>
                <w:rFonts w:ascii="Verdana" w:hAnsi="Verdana"/>
                <w:b/>
                <w:bCs/>
                <w:color w:val="000000"/>
                <w:sz w:val="18"/>
                <w:szCs w:val="20"/>
              </w:rPr>
              <w:t>Analyte</w:t>
            </w:r>
          </w:p>
        </w:tc>
        <w:tc>
          <w:tcPr>
            <w:tcW w:w="1280" w:type="dxa"/>
            <w:tcBorders>
              <w:top w:val="single" w:sz="8" w:space="0" w:color="auto"/>
              <w:left w:val="single" w:sz="4" w:space="0" w:color="auto"/>
              <w:bottom w:val="single" w:sz="4" w:space="0" w:color="auto"/>
              <w:right w:val="single" w:sz="4" w:space="0" w:color="auto"/>
            </w:tcBorders>
            <w:shd w:val="clear" w:color="000000" w:fill="C0C0C0"/>
            <w:vAlign w:val="center"/>
            <w:hideMark/>
          </w:tcPr>
          <w:p w:rsidR="00FF111B" w:rsidRPr="00FF111B" w:rsidRDefault="00FF111B" w:rsidP="00FF111B">
            <w:pPr>
              <w:jc w:val="center"/>
              <w:rPr>
                <w:rFonts w:ascii="Verdana" w:hAnsi="Verdana"/>
                <w:b/>
                <w:bCs/>
                <w:color w:val="000000"/>
                <w:sz w:val="18"/>
                <w:szCs w:val="20"/>
              </w:rPr>
            </w:pPr>
            <w:r w:rsidRPr="00FF111B">
              <w:rPr>
                <w:rFonts w:ascii="Verdana" w:hAnsi="Verdana"/>
                <w:b/>
                <w:bCs/>
                <w:color w:val="000000"/>
                <w:sz w:val="18"/>
                <w:szCs w:val="20"/>
              </w:rPr>
              <w:t>Fluo</w:t>
            </w:r>
          </w:p>
        </w:tc>
        <w:tc>
          <w:tcPr>
            <w:tcW w:w="1420" w:type="dxa"/>
            <w:tcBorders>
              <w:top w:val="single" w:sz="8" w:space="0" w:color="auto"/>
              <w:left w:val="single" w:sz="4" w:space="0" w:color="auto"/>
              <w:bottom w:val="single" w:sz="4" w:space="0" w:color="auto"/>
              <w:right w:val="single" w:sz="8" w:space="0" w:color="auto"/>
            </w:tcBorders>
            <w:shd w:val="clear" w:color="000000" w:fill="C0C0C0"/>
            <w:vAlign w:val="center"/>
            <w:hideMark/>
          </w:tcPr>
          <w:p w:rsidR="00FF111B" w:rsidRPr="00FF111B" w:rsidRDefault="00FF111B" w:rsidP="00FF111B">
            <w:pPr>
              <w:jc w:val="center"/>
              <w:rPr>
                <w:rFonts w:ascii="Verdana" w:hAnsi="Verdana"/>
                <w:b/>
                <w:bCs/>
                <w:color w:val="000000"/>
                <w:sz w:val="18"/>
                <w:szCs w:val="20"/>
              </w:rPr>
            </w:pPr>
            <w:r w:rsidRPr="00FF111B">
              <w:rPr>
                <w:rFonts w:ascii="Verdana" w:hAnsi="Verdana"/>
                <w:b/>
                <w:bCs/>
                <w:color w:val="000000"/>
                <w:sz w:val="18"/>
                <w:szCs w:val="20"/>
              </w:rPr>
              <w:t>Clone</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single" w:sz="4" w:space="0" w:color="000000"/>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b/>
                <w:bCs/>
                <w:color w:val="000000"/>
                <w:sz w:val="18"/>
                <w:szCs w:val="20"/>
              </w:rPr>
            </w:pPr>
            <w:r w:rsidRPr="00FF111B">
              <w:rPr>
                <w:rFonts w:ascii="Verdana" w:hAnsi="Verdana"/>
                <w:b/>
                <w:bCs/>
                <w:color w:val="000000"/>
                <w:sz w:val="18"/>
                <w:szCs w:val="20"/>
              </w:rPr>
              <w:t>Cocktail</w:t>
            </w:r>
          </w:p>
        </w:tc>
        <w:tc>
          <w:tcPr>
            <w:tcW w:w="1678" w:type="dxa"/>
            <w:tcBorders>
              <w:top w:val="single" w:sz="4" w:space="0" w:color="000000"/>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b/>
                <w:bCs/>
                <w:color w:val="000000"/>
                <w:sz w:val="18"/>
                <w:szCs w:val="20"/>
              </w:rPr>
            </w:pPr>
            <w:r w:rsidRPr="00FF111B">
              <w:rPr>
                <w:rFonts w:ascii="Verdana" w:hAnsi="Verdana"/>
                <w:b/>
                <w:bCs/>
                <w:color w:val="000000"/>
                <w:sz w:val="18"/>
                <w:szCs w:val="20"/>
              </w:rPr>
              <w:t>Analyte</w:t>
            </w:r>
          </w:p>
        </w:tc>
        <w:tc>
          <w:tcPr>
            <w:tcW w:w="720" w:type="dxa"/>
            <w:tcBorders>
              <w:top w:val="single" w:sz="4" w:space="0" w:color="000000"/>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b/>
                <w:bCs/>
                <w:color w:val="000000"/>
                <w:sz w:val="18"/>
                <w:szCs w:val="20"/>
              </w:rPr>
            </w:pPr>
            <w:r w:rsidRPr="00FF111B">
              <w:rPr>
                <w:rFonts w:ascii="Verdana" w:hAnsi="Verdana"/>
                <w:b/>
                <w:bCs/>
                <w:color w:val="000000"/>
                <w:sz w:val="18"/>
                <w:szCs w:val="20"/>
              </w:rPr>
              <w:t>Fluo</w:t>
            </w:r>
          </w:p>
        </w:tc>
        <w:tc>
          <w:tcPr>
            <w:tcW w:w="990" w:type="dxa"/>
            <w:tcBorders>
              <w:top w:val="single" w:sz="4" w:space="0" w:color="000000"/>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b/>
                <w:bCs/>
                <w:color w:val="000000"/>
                <w:sz w:val="18"/>
                <w:szCs w:val="20"/>
              </w:rPr>
            </w:pPr>
            <w:r w:rsidRPr="00FF111B">
              <w:rPr>
                <w:rFonts w:ascii="Verdana" w:hAnsi="Verdana"/>
                <w:b/>
                <w:bCs/>
                <w:color w:val="000000"/>
                <w:sz w:val="18"/>
                <w:szCs w:val="20"/>
              </w:rPr>
              <w:t>Clone</w:t>
            </w: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1</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CD27</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L128</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D8D8D8" w:fill="D8D8D8"/>
            <w:noWrap/>
            <w:vAlign w:val="bottom"/>
            <w:hideMark/>
          </w:tcPr>
          <w:p w:rsidR="00FF111B" w:rsidRPr="00FF111B" w:rsidRDefault="00FF111B" w:rsidP="00FF111B">
            <w:pPr>
              <w:jc w:val="right"/>
              <w:rPr>
                <w:rFonts w:ascii="Verdana" w:hAnsi="Verdana"/>
                <w:color w:val="000000"/>
                <w:sz w:val="18"/>
                <w:szCs w:val="20"/>
              </w:rPr>
            </w:pPr>
            <w:r w:rsidRPr="00FF111B">
              <w:rPr>
                <w:rFonts w:ascii="Verdana" w:hAnsi="Verdana"/>
                <w:color w:val="000000"/>
                <w:sz w:val="18"/>
                <w:szCs w:val="20"/>
              </w:rPr>
              <w:t>1</w:t>
            </w:r>
          </w:p>
        </w:tc>
        <w:tc>
          <w:tcPr>
            <w:tcW w:w="1678"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CD28</w:t>
            </w:r>
          </w:p>
        </w:tc>
        <w:tc>
          <w:tcPr>
            <w:tcW w:w="720"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990"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CD28.2</w:t>
            </w: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1</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jc w:val="right"/>
              <w:rPr>
                <w:rFonts w:ascii="Verdana" w:hAnsi="Verdana"/>
                <w:color w:val="000000"/>
                <w:sz w:val="18"/>
                <w:szCs w:val="20"/>
              </w:rPr>
            </w:pPr>
            <w:r w:rsidRPr="00FF111B">
              <w:rPr>
                <w:rFonts w:ascii="Verdana" w:hAnsi="Verdana"/>
                <w:color w:val="000000"/>
                <w:sz w:val="18"/>
                <w:szCs w:val="20"/>
              </w:rPr>
              <w:t>1</w:t>
            </w: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CD85j</w:t>
            </w: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GHI/75</w:t>
            </w: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1</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D8D8D8" w:fill="D8D8D8"/>
            <w:noWrap/>
            <w:vAlign w:val="bottom"/>
            <w:hideMark/>
          </w:tcPr>
          <w:p w:rsidR="00FF111B" w:rsidRPr="00FF111B" w:rsidRDefault="00FF111B" w:rsidP="00FF111B">
            <w:pPr>
              <w:jc w:val="right"/>
              <w:rPr>
                <w:rFonts w:ascii="Verdana" w:hAnsi="Verdana"/>
                <w:color w:val="000000"/>
                <w:sz w:val="18"/>
                <w:szCs w:val="20"/>
              </w:rPr>
            </w:pPr>
            <w:r w:rsidRPr="00FF111B">
              <w:rPr>
                <w:rFonts w:ascii="Verdana" w:hAnsi="Verdana"/>
                <w:color w:val="000000"/>
                <w:sz w:val="18"/>
                <w:szCs w:val="20"/>
              </w:rPr>
              <w:t>1</w:t>
            </w:r>
          </w:p>
        </w:tc>
        <w:tc>
          <w:tcPr>
            <w:tcW w:w="1678"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CD279 (PD-1)</w:t>
            </w:r>
          </w:p>
        </w:tc>
        <w:tc>
          <w:tcPr>
            <w:tcW w:w="720"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990" w:type="dxa"/>
            <w:tcBorders>
              <w:top w:val="nil"/>
              <w:left w:val="nil"/>
              <w:bottom w:val="nil"/>
              <w:right w:val="nil"/>
            </w:tcBorders>
            <w:shd w:val="clear" w:color="D8D8D8" w:fill="D8D8D8"/>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EH12.1</w:t>
            </w: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1</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CD45RA</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HI100</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single" w:sz="4" w:space="0" w:color="000000"/>
              <w:right w:val="nil"/>
            </w:tcBorders>
            <w:shd w:val="clear" w:color="auto" w:fill="auto"/>
            <w:noWrap/>
            <w:vAlign w:val="bottom"/>
            <w:hideMark/>
          </w:tcPr>
          <w:p w:rsidR="00FF111B" w:rsidRPr="00FF111B" w:rsidRDefault="00FF111B" w:rsidP="00FF111B">
            <w:pPr>
              <w:jc w:val="right"/>
              <w:rPr>
                <w:rFonts w:ascii="Verdana" w:hAnsi="Verdana"/>
                <w:color w:val="000000"/>
                <w:sz w:val="18"/>
                <w:szCs w:val="20"/>
              </w:rPr>
            </w:pPr>
            <w:r w:rsidRPr="00FF111B">
              <w:rPr>
                <w:rFonts w:ascii="Verdana" w:hAnsi="Verdana"/>
                <w:color w:val="000000"/>
                <w:sz w:val="18"/>
                <w:szCs w:val="20"/>
              </w:rPr>
              <w:t>7</w:t>
            </w:r>
          </w:p>
        </w:tc>
        <w:tc>
          <w:tcPr>
            <w:tcW w:w="1678" w:type="dxa"/>
            <w:tcBorders>
              <w:top w:val="nil"/>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TCRgd</w:t>
            </w:r>
          </w:p>
        </w:tc>
        <w:tc>
          <w:tcPr>
            <w:tcW w:w="720" w:type="dxa"/>
            <w:tcBorders>
              <w:top w:val="nil"/>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990" w:type="dxa"/>
            <w:tcBorders>
              <w:top w:val="nil"/>
              <w:left w:val="nil"/>
              <w:bottom w:val="single" w:sz="4" w:space="0" w:color="000000"/>
              <w:right w:val="nil"/>
            </w:tcBorders>
            <w:shd w:val="clear" w:color="auto" w:fill="auto"/>
            <w:noWrap/>
            <w:vAlign w:val="bottom"/>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B1</w:t>
            </w: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1</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CD16</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3G8</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CD314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1D11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CD56</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NCAM16.2</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CD94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HP-3D9</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HLADR</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L243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2</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CD19</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SJ25C1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2H7</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ML5</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CD27</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L128</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CD38</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HB-7</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3</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IgD</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IA6-2</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 xml:space="preserve">CD127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 647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HIL-7R-M21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CD161</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DX12</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CD25</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2A3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CD45RA</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HI100</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CD16</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3G8</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CD19</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SJ25C1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P67.6</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CD56</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NCAM16.2</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5</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CD16</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FITC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3G8</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CD183 (CXCR3)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1C6/CXCR3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CD19</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SJ25C1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P67.6</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CD56</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NCAM16.2</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6</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7</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V450</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UCHT1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7</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CD38</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PECY7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HB-7</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7</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CD4</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PCPCY5.5</w:t>
            </w:r>
          </w:p>
        </w:tc>
        <w:tc>
          <w:tcPr>
            <w:tcW w:w="14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auto"/>
              <w:right w:val="single" w:sz="4" w:space="0" w:color="auto"/>
            </w:tcBorders>
            <w:shd w:val="clear" w:color="D8D8D8" w:fill="D8D8D8"/>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7</w:t>
            </w:r>
          </w:p>
        </w:tc>
        <w:tc>
          <w:tcPr>
            <w:tcW w:w="13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CD8</w:t>
            </w:r>
          </w:p>
        </w:tc>
        <w:tc>
          <w:tcPr>
            <w:tcW w:w="128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APCH7</w:t>
            </w:r>
          </w:p>
        </w:tc>
        <w:tc>
          <w:tcPr>
            <w:tcW w:w="1420" w:type="dxa"/>
            <w:tcBorders>
              <w:top w:val="single" w:sz="4" w:space="0" w:color="auto"/>
              <w:left w:val="single" w:sz="4" w:space="0" w:color="auto"/>
              <w:bottom w:val="single" w:sz="4" w:space="0" w:color="auto"/>
              <w:right w:val="single" w:sz="8" w:space="0" w:color="auto"/>
            </w:tcBorders>
            <w:shd w:val="clear" w:color="D8D8D8" w:fill="D8D8D8"/>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SK1</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r w:rsidR="00FF111B" w:rsidRPr="00A06C83" w:rsidTr="00FF111B">
        <w:trPr>
          <w:trHeight w:val="255"/>
        </w:trPr>
        <w:tc>
          <w:tcPr>
            <w:tcW w:w="1112" w:type="dxa"/>
            <w:tcBorders>
              <w:top w:val="single" w:sz="4" w:space="0" w:color="auto"/>
              <w:left w:val="single" w:sz="8" w:space="0" w:color="auto"/>
              <w:bottom w:val="single" w:sz="4" w:space="0" w:color="000000"/>
              <w:right w:val="single" w:sz="4" w:space="0" w:color="auto"/>
            </w:tcBorders>
            <w:shd w:val="clear" w:color="auto" w:fill="auto"/>
            <w:vAlign w:val="center"/>
            <w:hideMark/>
          </w:tcPr>
          <w:p w:rsidR="00FF111B" w:rsidRPr="00FF111B" w:rsidRDefault="00FF111B" w:rsidP="00FF111B">
            <w:pPr>
              <w:jc w:val="center"/>
              <w:rPr>
                <w:rFonts w:ascii="Verdana" w:hAnsi="Verdana"/>
                <w:color w:val="000000"/>
                <w:sz w:val="18"/>
                <w:szCs w:val="20"/>
              </w:rPr>
            </w:pPr>
            <w:r w:rsidRPr="00FF111B">
              <w:rPr>
                <w:rFonts w:ascii="Verdana" w:hAnsi="Verdana"/>
                <w:color w:val="000000"/>
                <w:sz w:val="18"/>
                <w:szCs w:val="20"/>
              </w:rPr>
              <w:t>7</w:t>
            </w:r>
          </w:p>
        </w:tc>
        <w:tc>
          <w:tcPr>
            <w:tcW w:w="132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HLADR</w:t>
            </w:r>
          </w:p>
        </w:tc>
        <w:tc>
          <w:tcPr>
            <w:tcW w:w="128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APC</w:t>
            </w:r>
          </w:p>
        </w:tc>
        <w:tc>
          <w:tcPr>
            <w:tcW w:w="1420" w:type="dxa"/>
            <w:tcBorders>
              <w:top w:val="single" w:sz="4" w:space="0" w:color="auto"/>
              <w:left w:val="single" w:sz="4" w:space="0" w:color="auto"/>
              <w:bottom w:val="single" w:sz="4" w:space="0" w:color="000000"/>
              <w:right w:val="single" w:sz="8" w:space="0" w:color="auto"/>
            </w:tcBorders>
            <w:shd w:val="clear" w:color="auto" w:fill="auto"/>
            <w:vAlign w:val="center"/>
            <w:hideMark/>
          </w:tcPr>
          <w:p w:rsidR="00FF111B" w:rsidRPr="00FF111B" w:rsidRDefault="00FF111B" w:rsidP="00FF111B">
            <w:pPr>
              <w:rPr>
                <w:rFonts w:ascii="Verdana" w:hAnsi="Verdana"/>
                <w:color w:val="000000"/>
                <w:sz w:val="18"/>
                <w:szCs w:val="20"/>
              </w:rPr>
            </w:pPr>
            <w:r w:rsidRPr="00FF111B">
              <w:rPr>
                <w:rFonts w:ascii="Verdana" w:hAnsi="Verdana"/>
                <w:color w:val="000000"/>
                <w:sz w:val="18"/>
                <w:szCs w:val="20"/>
              </w:rPr>
              <w:t>L243</w:t>
            </w:r>
          </w:p>
        </w:tc>
        <w:tc>
          <w:tcPr>
            <w:tcW w:w="289"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112"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1678"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72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c>
          <w:tcPr>
            <w:tcW w:w="990" w:type="dxa"/>
            <w:tcBorders>
              <w:top w:val="nil"/>
              <w:left w:val="nil"/>
              <w:bottom w:val="nil"/>
              <w:right w:val="nil"/>
            </w:tcBorders>
            <w:shd w:val="clear" w:color="auto" w:fill="auto"/>
            <w:noWrap/>
            <w:vAlign w:val="bottom"/>
            <w:hideMark/>
          </w:tcPr>
          <w:p w:rsidR="00FF111B" w:rsidRPr="00FF111B" w:rsidRDefault="00FF111B" w:rsidP="00FF111B">
            <w:pPr>
              <w:rPr>
                <w:rFonts w:ascii="Verdana" w:hAnsi="Verdana"/>
                <w:sz w:val="18"/>
                <w:szCs w:val="20"/>
              </w:rPr>
            </w:pPr>
          </w:p>
        </w:tc>
      </w:tr>
    </w:tbl>
    <w:p w:rsidR="007C3029" w:rsidRDefault="007C3029">
      <w:pPr>
        <w:rPr>
          <w:sz w:val="28"/>
        </w:rPr>
      </w:pPr>
    </w:p>
    <w:p w:rsidR="00A40E54" w:rsidRDefault="00A40E54">
      <w:pPr>
        <w:rPr>
          <w:sz w:val="28"/>
        </w:rPr>
      </w:pPr>
      <w:r>
        <w:rPr>
          <w:sz w:val="28"/>
        </w:rPr>
        <w:br w:type="page"/>
      </w:r>
      <w:r w:rsidR="00C512F5">
        <w:rPr>
          <w:noProof/>
          <w:sz w:val="28"/>
        </w:rPr>
        <w:pict>
          <v:shapetype id="_x0000_t202" coordsize="21600,21600" o:spt="202" path="m,l,21600r21600,l21600,xe">
            <v:stroke joinstyle="miter"/>
            <v:path gradientshapeok="t" o:connecttype="rect"/>
          </v:shapetype>
          <v:shape id="_x0000_s1036" type="#_x0000_t202" style="position:absolute;margin-left:0;margin-top:.7pt;width:458.7pt;height:585pt;z-index:251657728;mso-position-horizontal:center" stroked="f">
            <v:textbox>
              <w:txbxContent>
                <w:p w:rsidR="00A40E54" w:rsidRDefault="002454AD">
                  <w:r>
                    <w:rPr>
                      <w:noProof/>
                    </w:rPr>
                    <w:drawing>
                      <wp:inline distT="0" distB="0" distL="0" distR="0">
                        <wp:extent cx="5629275" cy="2905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29275" cy="2905125"/>
                                </a:xfrm>
                                <a:prstGeom prst="rect">
                                  <a:avLst/>
                                </a:prstGeom>
                                <a:noFill/>
                                <a:ln w="9525">
                                  <a:noFill/>
                                  <a:miter lim="800000"/>
                                  <a:headEnd/>
                                  <a:tailEnd/>
                                </a:ln>
                              </pic:spPr>
                            </pic:pic>
                          </a:graphicData>
                        </a:graphic>
                      </wp:inline>
                    </w:drawing>
                  </w:r>
                </w:p>
                <w:p w:rsidR="00A40E54" w:rsidRDefault="00A40E54"/>
                <w:p w:rsidR="00A40E54" w:rsidRDefault="002454AD">
                  <w:r>
                    <w:rPr>
                      <w:noProof/>
                    </w:rPr>
                    <w:drawing>
                      <wp:inline distT="0" distB="0" distL="0" distR="0">
                        <wp:extent cx="3743325" cy="423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43325" cy="4238625"/>
                                </a:xfrm>
                                <a:prstGeom prst="rect">
                                  <a:avLst/>
                                </a:prstGeom>
                                <a:noFill/>
                                <a:ln w="9525">
                                  <a:noFill/>
                                  <a:miter lim="800000"/>
                                  <a:headEnd/>
                                  <a:tailEnd/>
                                </a:ln>
                              </pic:spPr>
                            </pic:pic>
                          </a:graphicData>
                        </a:graphic>
                      </wp:inline>
                    </w:drawing>
                  </w:r>
                </w:p>
              </w:txbxContent>
            </v:textbox>
            <w10:wrap type="square"/>
          </v:shape>
        </w:pict>
      </w:r>
    </w:p>
    <w:sectPr w:rsidR="00A40E54" w:rsidSect="00C512F5">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224" w:rsidRDefault="00664224">
      <w:r>
        <w:separator/>
      </w:r>
    </w:p>
  </w:endnote>
  <w:endnote w:type="continuationSeparator" w:id="0">
    <w:p w:rsidR="00664224" w:rsidRDefault="006642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Roman">
    <w:altName w:val="Times"/>
    <w:panose1 w:val="00000000000000000000"/>
    <w:charset w:val="00"/>
    <w:family w:val="roman"/>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E54" w:rsidRDefault="00C512F5">
    <w:pPr>
      <w:pStyle w:val="Footer"/>
      <w:framePr w:wrap="around" w:vAnchor="text" w:hAnchor="margin" w:xAlign="center" w:y="1"/>
      <w:rPr>
        <w:rStyle w:val="PageNumber"/>
      </w:rPr>
    </w:pPr>
    <w:r>
      <w:rPr>
        <w:rStyle w:val="PageNumber"/>
      </w:rPr>
      <w:fldChar w:fldCharType="begin"/>
    </w:r>
    <w:r w:rsidR="00A40E54">
      <w:rPr>
        <w:rStyle w:val="PageNumber"/>
      </w:rPr>
      <w:instrText xml:space="preserve">PAGE  </w:instrText>
    </w:r>
    <w:r>
      <w:rPr>
        <w:rStyle w:val="PageNumber"/>
      </w:rPr>
      <w:fldChar w:fldCharType="end"/>
    </w:r>
  </w:p>
  <w:p w:rsidR="00A40E54" w:rsidRDefault="00A40E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E54" w:rsidRPr="00C73DF3" w:rsidRDefault="00A9537D">
    <w:pPr>
      <w:pStyle w:val="Footer"/>
      <w:pBdr>
        <w:top w:val="single" w:sz="8" w:space="1" w:color="auto"/>
        <w:left w:val="single" w:sz="8" w:space="4" w:color="auto"/>
        <w:bottom w:val="single" w:sz="8" w:space="1" w:color="auto"/>
        <w:right w:val="single" w:sz="8" w:space="4" w:color="auto"/>
      </w:pBdr>
      <w:shd w:val="clear" w:color="auto" w:fill="E0E0E0"/>
      <w:rPr>
        <w:sz w:val="22"/>
        <w:bdr w:val="single" w:sz="8" w:space="0" w:color="auto"/>
      </w:rPr>
    </w:pPr>
    <w:r w:rsidRPr="00C73DF3">
      <w:rPr>
        <w:sz w:val="22"/>
      </w:rPr>
      <w:t>HIMC Protocol</w:t>
    </w:r>
    <w:r w:rsidR="00A40E54" w:rsidRPr="00C73DF3">
      <w:rPr>
        <w:sz w:val="22"/>
      </w:rPr>
      <w:t xml:space="preserve">: Phenotyping of Human PBMC using </w:t>
    </w:r>
    <w:r w:rsidR="009B2FC7" w:rsidRPr="00C73DF3">
      <w:rPr>
        <w:sz w:val="22"/>
      </w:rPr>
      <w:t xml:space="preserve">Stain 48 </w:t>
    </w:r>
    <w:r w:rsidR="00A40E54" w:rsidRPr="00C73DF3">
      <w:rPr>
        <w:sz w:val="22"/>
      </w:rPr>
      <w:t>Lyoplate</w:t>
    </w:r>
    <w:r w:rsidR="00996EC5" w:rsidRPr="00C73DF3">
      <w:rPr>
        <w:sz w:val="22"/>
      </w:rPr>
      <w:t xml:space="preserve"> - 070152014</w:t>
    </w:r>
    <w:r w:rsidR="00A40E54" w:rsidRPr="00C73DF3">
      <w:rPr>
        <w:sz w:val="22"/>
      </w:rPr>
      <w:tab/>
      <w:t xml:space="preserve">                          </w:t>
    </w:r>
  </w:p>
  <w:p w:rsidR="00A40E54" w:rsidRPr="00C73DF3" w:rsidRDefault="008868D9">
    <w:pPr>
      <w:pStyle w:val="Footer"/>
      <w:pBdr>
        <w:top w:val="single" w:sz="8" w:space="1" w:color="auto"/>
        <w:left w:val="single" w:sz="8" w:space="4" w:color="auto"/>
        <w:bottom w:val="single" w:sz="8" w:space="1" w:color="auto"/>
        <w:right w:val="single" w:sz="8" w:space="4" w:color="auto"/>
      </w:pBdr>
      <w:shd w:val="clear" w:color="auto" w:fill="E0E0E0"/>
      <w:tabs>
        <w:tab w:val="left" w:pos="4320"/>
      </w:tabs>
      <w:rPr>
        <w:sz w:val="22"/>
      </w:rPr>
    </w:pPr>
    <w:r w:rsidRPr="00C73DF3">
      <w:rPr>
        <w:sz w:val="22"/>
      </w:rPr>
      <w:t>Author: Patty Lovelace</w:t>
    </w:r>
    <w:r w:rsidR="00A9537D" w:rsidRPr="00C73DF3">
      <w:rPr>
        <w:sz w:val="22"/>
      </w:rPr>
      <w:tab/>
    </w:r>
    <w:r w:rsidR="00A9537D" w:rsidRPr="00C73DF3">
      <w:rPr>
        <w:sz w:val="22"/>
      </w:rPr>
      <w:tab/>
      <w:t xml:space="preserve">Page </w:t>
    </w:r>
    <w:r w:rsidR="00C512F5" w:rsidRPr="00C73DF3">
      <w:rPr>
        <w:rStyle w:val="PageNumber"/>
        <w:sz w:val="22"/>
      </w:rPr>
      <w:fldChar w:fldCharType="begin"/>
    </w:r>
    <w:r w:rsidR="00A9537D" w:rsidRPr="00C73DF3">
      <w:rPr>
        <w:rStyle w:val="PageNumber"/>
        <w:sz w:val="22"/>
      </w:rPr>
      <w:instrText xml:space="preserve"> PAGE </w:instrText>
    </w:r>
    <w:r w:rsidR="00C512F5" w:rsidRPr="00C73DF3">
      <w:rPr>
        <w:rStyle w:val="PageNumber"/>
        <w:sz w:val="22"/>
      </w:rPr>
      <w:fldChar w:fldCharType="separate"/>
    </w:r>
    <w:r w:rsidR="00664224">
      <w:rPr>
        <w:rStyle w:val="PageNumber"/>
        <w:noProof/>
        <w:sz w:val="22"/>
      </w:rPr>
      <w:t>1</w:t>
    </w:r>
    <w:r w:rsidR="00C512F5" w:rsidRPr="00C73DF3">
      <w:rPr>
        <w:rStyle w:val="PageNumber"/>
        <w:sz w:val="22"/>
      </w:rPr>
      <w:fldChar w:fldCharType="end"/>
    </w:r>
    <w:r w:rsidR="00A9537D" w:rsidRPr="00C73DF3">
      <w:rPr>
        <w:rStyle w:val="PageNumber"/>
        <w:sz w:val="22"/>
      </w:rPr>
      <w:t xml:space="preserve"> of </w:t>
    </w:r>
    <w:r w:rsidR="00C512F5" w:rsidRPr="00C73DF3">
      <w:rPr>
        <w:rStyle w:val="PageNumber"/>
        <w:sz w:val="22"/>
      </w:rPr>
      <w:fldChar w:fldCharType="begin"/>
    </w:r>
    <w:r w:rsidR="00A9537D" w:rsidRPr="00C73DF3">
      <w:rPr>
        <w:rStyle w:val="PageNumber"/>
        <w:sz w:val="22"/>
      </w:rPr>
      <w:instrText xml:space="preserve"> NUMPAGES </w:instrText>
    </w:r>
    <w:r w:rsidR="00C512F5" w:rsidRPr="00C73DF3">
      <w:rPr>
        <w:rStyle w:val="PageNumber"/>
        <w:sz w:val="22"/>
      </w:rPr>
      <w:fldChar w:fldCharType="separate"/>
    </w:r>
    <w:r w:rsidR="00664224">
      <w:rPr>
        <w:rStyle w:val="PageNumber"/>
        <w:noProof/>
        <w:sz w:val="22"/>
      </w:rPr>
      <w:t>1</w:t>
    </w:r>
    <w:r w:rsidR="00C512F5" w:rsidRPr="00C73DF3">
      <w:rPr>
        <w:rStyle w:val="PageNumber"/>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224" w:rsidRDefault="00664224">
      <w:r>
        <w:separator/>
      </w:r>
    </w:p>
  </w:footnote>
  <w:footnote w:type="continuationSeparator" w:id="0">
    <w:p w:rsidR="00664224" w:rsidRDefault="00664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8D9" w:rsidRDefault="008868D9" w:rsidP="008868D9">
    <w:pPr>
      <w:pStyle w:val="Header"/>
      <w:pBdr>
        <w:top w:val="single" w:sz="8" w:space="1" w:color="auto"/>
        <w:left w:val="single" w:sz="8" w:space="4" w:color="auto"/>
        <w:bottom w:val="single" w:sz="8" w:space="1" w:color="auto"/>
        <w:right w:val="single" w:sz="8" w:space="4" w:color="auto"/>
      </w:pBdr>
      <w:shd w:val="clear" w:color="auto" w:fill="B3B3B3"/>
      <w:jc w:val="center"/>
    </w:pPr>
    <w:r>
      <w:t>Stanford Human Immune Monitoring Core</w:t>
    </w:r>
  </w:p>
  <w:p w:rsidR="008868D9" w:rsidRDefault="008868D9" w:rsidP="008868D9">
    <w:pPr>
      <w:pStyle w:val="Header"/>
      <w:pBdr>
        <w:top w:val="single" w:sz="8" w:space="1" w:color="auto"/>
        <w:left w:val="single" w:sz="8" w:space="4" w:color="auto"/>
        <w:bottom w:val="single" w:sz="8" w:space="1" w:color="auto"/>
        <w:right w:val="single" w:sz="8" w:space="4" w:color="auto"/>
      </w:pBdr>
      <w:shd w:val="clear" w:color="auto" w:fill="B3B3B3"/>
      <w:jc w:val="center"/>
    </w:pPr>
    <w:r>
      <w:t>Stanford, CA 94305</w:t>
    </w:r>
  </w:p>
  <w:p w:rsidR="008868D9" w:rsidRDefault="008868D9" w:rsidP="008868D9">
    <w:pPr>
      <w:pStyle w:val="Header"/>
      <w:pBdr>
        <w:top w:val="single" w:sz="8" w:space="1" w:color="auto"/>
        <w:left w:val="single" w:sz="8" w:space="4" w:color="auto"/>
        <w:bottom w:val="single" w:sz="8" w:space="1" w:color="auto"/>
        <w:right w:val="single" w:sz="8" w:space="4" w:color="auto"/>
      </w:pBdr>
      <w:shd w:val="clear" w:color="auto" w:fill="B3B3B3"/>
      <w:jc w:val="center"/>
    </w:pPr>
    <w:r>
      <w:t>Phone: 650-723-5050</w:t>
    </w:r>
  </w:p>
  <w:p w:rsidR="00A40E54" w:rsidRPr="008868D9" w:rsidRDefault="00A40E54" w:rsidP="00886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56F4"/>
    <w:multiLevelType w:val="multilevel"/>
    <w:tmpl w:val="742676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FD17AD4"/>
    <w:multiLevelType w:val="multilevel"/>
    <w:tmpl w:val="6F08E4A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1080" w:hanging="72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50155CF"/>
    <w:multiLevelType w:val="multilevel"/>
    <w:tmpl w:val="8A1025D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A960268"/>
    <w:multiLevelType w:val="multilevel"/>
    <w:tmpl w:val="230AAE4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36AD3D13"/>
    <w:multiLevelType w:val="multilevel"/>
    <w:tmpl w:val="F4A0264A"/>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rPr>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72C4C69"/>
    <w:multiLevelType w:val="multilevel"/>
    <w:tmpl w:val="333854D6"/>
    <w:lvl w:ilvl="0">
      <w:start w:val="3"/>
      <w:numFmt w:val="decimal"/>
      <w:lvlText w:val="%1"/>
      <w:lvlJc w:val="left"/>
      <w:pPr>
        <w:tabs>
          <w:tab w:val="num" w:pos="720"/>
        </w:tabs>
        <w:ind w:left="720" w:hanging="720"/>
      </w:pPr>
      <w:rPr>
        <w:rFonts w:hint="default"/>
      </w:rPr>
    </w:lvl>
    <w:lvl w:ilvl="1">
      <w:start w:val="16"/>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7A210A5F"/>
    <w:multiLevelType w:val="multilevel"/>
    <w:tmpl w:val="F26E2F7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isplayHorizontalDrawingGridEvery w:val="0"/>
  <w:displayVerticalDrawingGridEvery w:val="0"/>
  <w:doNotUseMarginsForDrawingGridOrigin/>
  <w:noPunctuationKerning/>
  <w:characterSpacingControl w:val="doNotCompress"/>
  <w:savePreviewPicture/>
  <w:hdrShapeDefaults>
    <o:shapedefaults v:ext="edit" spidmax="6146"/>
  </w:hdrShapeDefaults>
  <w:footnotePr>
    <w:footnote w:id="-1"/>
    <w:footnote w:id="0"/>
  </w:footnotePr>
  <w:endnotePr>
    <w:endnote w:id="-1"/>
    <w:endnote w:id="0"/>
  </w:endnotePr>
  <w:compat/>
  <w:rsids>
    <w:rsidRoot w:val="008868D9"/>
    <w:rsid w:val="0002371B"/>
    <w:rsid w:val="000F5958"/>
    <w:rsid w:val="00221EED"/>
    <w:rsid w:val="002454AD"/>
    <w:rsid w:val="002F587C"/>
    <w:rsid w:val="004673FC"/>
    <w:rsid w:val="004B4488"/>
    <w:rsid w:val="00664224"/>
    <w:rsid w:val="007C3029"/>
    <w:rsid w:val="008868D9"/>
    <w:rsid w:val="00996EC5"/>
    <w:rsid w:val="009B2FC7"/>
    <w:rsid w:val="00A06C83"/>
    <w:rsid w:val="00A40E54"/>
    <w:rsid w:val="00A9537D"/>
    <w:rsid w:val="00AB1052"/>
    <w:rsid w:val="00C26FF1"/>
    <w:rsid w:val="00C512F5"/>
    <w:rsid w:val="00C53FB0"/>
    <w:rsid w:val="00C73DF3"/>
    <w:rsid w:val="00CF4826"/>
    <w:rsid w:val="00F34B79"/>
    <w:rsid w:val="00FB6DCB"/>
    <w:rsid w:val="00FF111B"/>
    <w:rsid w:val="00FF2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F5"/>
    <w:rPr>
      <w:sz w:val="24"/>
      <w:szCs w:val="24"/>
    </w:rPr>
  </w:style>
  <w:style w:type="paragraph" w:styleId="Heading1">
    <w:name w:val="heading 1"/>
    <w:basedOn w:val="Normal"/>
    <w:next w:val="Normal"/>
    <w:qFormat/>
    <w:rsid w:val="00C512F5"/>
    <w:pPr>
      <w:keepNext/>
      <w:jc w:val="center"/>
      <w:outlineLvl w:val="0"/>
    </w:pPr>
    <w:rPr>
      <w:b/>
      <w:sz w:val="28"/>
    </w:rPr>
  </w:style>
  <w:style w:type="paragraph" w:styleId="Heading2">
    <w:name w:val="heading 2"/>
    <w:basedOn w:val="Normal"/>
    <w:next w:val="Normal"/>
    <w:qFormat/>
    <w:rsid w:val="00C512F5"/>
    <w:pPr>
      <w:keepNext/>
      <w:ind w:left="36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512F5"/>
    <w:pPr>
      <w:tabs>
        <w:tab w:val="center" w:pos="4320"/>
        <w:tab w:val="right" w:pos="8640"/>
      </w:tabs>
    </w:pPr>
  </w:style>
  <w:style w:type="paragraph" w:styleId="Footer">
    <w:name w:val="footer"/>
    <w:basedOn w:val="Normal"/>
    <w:semiHidden/>
    <w:rsid w:val="00C512F5"/>
    <w:pPr>
      <w:tabs>
        <w:tab w:val="center" w:pos="4320"/>
        <w:tab w:val="right" w:pos="8640"/>
      </w:tabs>
    </w:pPr>
  </w:style>
  <w:style w:type="paragraph" w:styleId="BodyTextIndent">
    <w:name w:val="Body Text Indent"/>
    <w:basedOn w:val="Normal"/>
    <w:semiHidden/>
    <w:rsid w:val="00C512F5"/>
    <w:pPr>
      <w:widowControl w:val="0"/>
      <w:autoSpaceDE w:val="0"/>
      <w:autoSpaceDN w:val="0"/>
      <w:adjustRightInd w:val="0"/>
      <w:ind w:left="1080" w:hanging="720"/>
    </w:pPr>
    <w:rPr>
      <w:rFonts w:ascii="Times-Roman" w:hAnsi="Times-Roman"/>
      <w:sz w:val="28"/>
    </w:rPr>
  </w:style>
  <w:style w:type="paragraph" w:customStyle="1" w:styleId="xl24">
    <w:name w:val="xl24"/>
    <w:basedOn w:val="Normal"/>
    <w:rsid w:val="00C512F5"/>
    <w:pPr>
      <w:spacing w:before="100" w:beforeAutospacing="1" w:after="100" w:afterAutospacing="1"/>
    </w:pPr>
    <w:rPr>
      <w:rFonts w:ascii="Verdana" w:hAnsi="Verdana"/>
      <w:color w:val="DD0806"/>
      <w:sz w:val="22"/>
      <w:szCs w:val="20"/>
    </w:rPr>
  </w:style>
  <w:style w:type="paragraph" w:customStyle="1" w:styleId="xl25">
    <w:name w:val="xl25"/>
    <w:basedOn w:val="Normal"/>
    <w:rsid w:val="00C512F5"/>
    <w:pPr>
      <w:spacing w:before="100" w:beforeAutospacing="1" w:after="100" w:afterAutospacing="1"/>
      <w:jc w:val="center"/>
    </w:pPr>
    <w:rPr>
      <w:rFonts w:ascii="Verdana" w:hAnsi="Verdana"/>
      <w:color w:val="000000"/>
      <w:sz w:val="22"/>
      <w:szCs w:val="20"/>
    </w:rPr>
  </w:style>
  <w:style w:type="paragraph" w:customStyle="1" w:styleId="xl26">
    <w:name w:val="xl26"/>
    <w:basedOn w:val="Normal"/>
    <w:rsid w:val="00C512F5"/>
    <w:pPr>
      <w:spacing w:before="100" w:beforeAutospacing="1" w:after="100" w:afterAutospacing="1"/>
      <w:jc w:val="right"/>
    </w:pPr>
    <w:rPr>
      <w:rFonts w:ascii="Verdana" w:hAnsi="Verdana"/>
      <w:color w:val="000000"/>
      <w:sz w:val="22"/>
      <w:szCs w:val="20"/>
    </w:rPr>
  </w:style>
  <w:style w:type="paragraph" w:customStyle="1" w:styleId="xl27">
    <w:name w:val="xl27"/>
    <w:basedOn w:val="Normal"/>
    <w:rsid w:val="00C512F5"/>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rFonts w:ascii="Verdana" w:hAnsi="Verdana"/>
      <w:color w:val="000000"/>
      <w:sz w:val="22"/>
      <w:szCs w:val="20"/>
    </w:rPr>
  </w:style>
  <w:style w:type="paragraph" w:customStyle="1" w:styleId="xl28">
    <w:name w:val="xl28"/>
    <w:basedOn w:val="Normal"/>
    <w:rsid w:val="00C512F5"/>
    <w:pPr>
      <w:spacing w:before="100" w:beforeAutospacing="1" w:after="100" w:afterAutospacing="1"/>
      <w:jc w:val="center"/>
    </w:pPr>
    <w:rPr>
      <w:rFonts w:ascii="Verdana" w:hAnsi="Verdana"/>
      <w:color w:val="000000"/>
      <w:sz w:val="22"/>
      <w:szCs w:val="20"/>
    </w:rPr>
  </w:style>
  <w:style w:type="paragraph" w:customStyle="1" w:styleId="xl29">
    <w:name w:val="xl29"/>
    <w:basedOn w:val="Normal"/>
    <w:rsid w:val="00C512F5"/>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w:hAnsi="Times"/>
      <w:sz w:val="20"/>
      <w:szCs w:val="20"/>
    </w:rPr>
  </w:style>
  <w:style w:type="paragraph" w:customStyle="1" w:styleId="xl30">
    <w:name w:val="xl30"/>
    <w:basedOn w:val="Normal"/>
    <w:rsid w:val="00C512F5"/>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rFonts w:ascii="Verdana" w:hAnsi="Verdana"/>
      <w:color w:val="000000"/>
      <w:sz w:val="22"/>
      <w:szCs w:val="20"/>
    </w:rPr>
  </w:style>
  <w:style w:type="character" w:styleId="PageNumber">
    <w:name w:val="page number"/>
    <w:basedOn w:val="DefaultParagraphFont"/>
    <w:semiHidden/>
    <w:rsid w:val="00C512F5"/>
  </w:style>
  <w:style w:type="character" w:customStyle="1" w:styleId="HeaderChar">
    <w:name w:val="Header Char"/>
    <w:basedOn w:val="DefaultParagraphFont"/>
    <w:rsid w:val="00C512F5"/>
  </w:style>
  <w:style w:type="character" w:customStyle="1" w:styleId="FooterChar">
    <w:name w:val="Footer Char"/>
    <w:basedOn w:val="DefaultParagraphFont"/>
    <w:rsid w:val="00C512F5"/>
  </w:style>
  <w:style w:type="paragraph" w:styleId="DocumentMap">
    <w:name w:val="Document Map"/>
    <w:basedOn w:val="Normal"/>
    <w:link w:val="DocumentMapChar"/>
    <w:uiPriority w:val="99"/>
    <w:semiHidden/>
    <w:unhideWhenUsed/>
    <w:rsid w:val="008868D9"/>
    <w:rPr>
      <w:rFonts w:ascii="Tahoma" w:hAnsi="Tahoma" w:cs="Tahoma"/>
      <w:sz w:val="16"/>
      <w:szCs w:val="16"/>
    </w:rPr>
  </w:style>
  <w:style w:type="character" w:customStyle="1" w:styleId="DocumentMapChar">
    <w:name w:val="Document Map Char"/>
    <w:basedOn w:val="DefaultParagraphFont"/>
    <w:link w:val="DocumentMap"/>
    <w:uiPriority w:val="99"/>
    <w:semiHidden/>
    <w:rsid w:val="00886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080290">
      <w:bodyDiv w:val="1"/>
      <w:marLeft w:val="0"/>
      <w:marRight w:val="0"/>
      <w:marTop w:val="0"/>
      <w:marBottom w:val="0"/>
      <w:divBdr>
        <w:top w:val="none" w:sz="0" w:space="0" w:color="auto"/>
        <w:left w:val="none" w:sz="0" w:space="0" w:color="auto"/>
        <w:bottom w:val="none" w:sz="0" w:space="0" w:color="auto"/>
        <w:right w:val="none" w:sz="0" w:space="0" w:color="auto"/>
      </w:divBdr>
    </w:div>
    <w:div w:id="1175650691">
      <w:bodyDiv w:val="1"/>
      <w:marLeft w:val="0"/>
      <w:marRight w:val="0"/>
      <w:marTop w:val="0"/>
      <w:marBottom w:val="0"/>
      <w:divBdr>
        <w:top w:val="none" w:sz="0" w:space="0" w:color="auto"/>
        <w:left w:val="none" w:sz="0" w:space="0" w:color="auto"/>
        <w:bottom w:val="none" w:sz="0" w:space="0" w:color="auto"/>
        <w:right w:val="none" w:sz="0" w:space="0" w:color="auto"/>
      </w:divBdr>
    </w:div>
    <w:div w:id="12530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933</Words>
  <Characters>5321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Isolation of Human PBMC from Whole Blood</vt:lpstr>
      <vt:lpstr>Phenotyping of Human PBMC using Lyoplate</vt:lpstr>
      <vt:lpstr>    Analyze Data</vt:lpstr>
    </vt:vector>
  </TitlesOfParts>
  <Company>Flow Cytometry Consulting</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Isolation of Human PBMC from Whole Blood</dc:title>
  <dc:creator>Patty Lovelace</dc:creator>
  <cp:lastModifiedBy>Yannick Pouliot</cp:lastModifiedBy>
  <cp:revision>15</cp:revision>
  <cp:lastPrinted>2011-02-14T19:00:00Z</cp:lastPrinted>
  <dcterms:created xsi:type="dcterms:W3CDTF">2014-07-15T21:39:00Z</dcterms:created>
  <dcterms:modified xsi:type="dcterms:W3CDTF">2014-07-16T20:36:00Z</dcterms:modified>
</cp:coreProperties>
</file>