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9793F" w14:textId="77777777" w:rsidR="00A07666" w:rsidRPr="00A07666" w:rsidRDefault="00A07666" w:rsidP="00A07666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A07666">
        <w:rPr>
          <w:rFonts w:ascii="Arial" w:hAnsi="Arial" w:cs="Arial"/>
          <w:sz w:val="22"/>
          <w:szCs w:val="22"/>
        </w:rPr>
        <w:t xml:space="preserve">Flow </w:t>
      </w:r>
      <w:proofErr w:type="spellStart"/>
      <w:r w:rsidRPr="00A07666">
        <w:rPr>
          <w:rFonts w:ascii="Arial" w:hAnsi="Arial" w:cs="Arial"/>
          <w:sz w:val="22"/>
          <w:szCs w:val="22"/>
        </w:rPr>
        <w:t>Cytometry</w:t>
      </w:r>
      <w:bookmarkStart w:id="0" w:name="_GoBack"/>
      <w:bookmarkEnd w:id="0"/>
      <w:proofErr w:type="spellEnd"/>
    </w:p>
    <w:p w14:paraId="5A06F8AC" w14:textId="2E594BE9" w:rsidR="00A07666" w:rsidRPr="00A07666" w:rsidRDefault="00A07666" w:rsidP="00A07666">
      <w:pPr>
        <w:spacing w:line="480" w:lineRule="auto"/>
        <w:jc w:val="both"/>
        <w:rPr>
          <w:rFonts w:ascii="Arial" w:hAnsi="Arial" w:cs="Arial"/>
          <w:b/>
          <w:sz w:val="22"/>
          <w:szCs w:val="22"/>
        </w:rPr>
      </w:pPr>
      <w:r w:rsidRPr="00A07666">
        <w:rPr>
          <w:rFonts w:ascii="Arial" w:hAnsi="Arial" w:cs="Arial"/>
          <w:sz w:val="22"/>
          <w:szCs w:val="22"/>
        </w:rPr>
        <w:tab/>
        <w:t xml:space="preserve">Peripheral whole blood samples were collected from each subject at the indicated four time points. The following antibody panel against human markers was used to identify the different B cell populations: CD45 (Pacific Orange) (Invitrogen); CD14 (Alexa Fluor 700), CD20 (Pe-Cy5), </w:t>
      </w:r>
      <w:proofErr w:type="spellStart"/>
      <w:r w:rsidRPr="00A07666">
        <w:rPr>
          <w:rFonts w:ascii="Arial" w:hAnsi="Arial" w:cs="Arial"/>
          <w:sz w:val="22"/>
          <w:szCs w:val="22"/>
        </w:rPr>
        <w:t>IgD</w:t>
      </w:r>
      <w:proofErr w:type="spellEnd"/>
      <w:r w:rsidRPr="00A07666">
        <w:rPr>
          <w:rFonts w:ascii="Arial" w:hAnsi="Arial" w:cs="Arial"/>
          <w:sz w:val="22"/>
          <w:szCs w:val="22"/>
        </w:rPr>
        <w:t xml:space="preserve"> (FITC), CD24 (PE) (BD </w:t>
      </w:r>
      <w:proofErr w:type="spellStart"/>
      <w:r w:rsidRPr="00A07666">
        <w:rPr>
          <w:rFonts w:ascii="Arial" w:hAnsi="Arial" w:cs="Arial"/>
          <w:sz w:val="22"/>
          <w:szCs w:val="22"/>
        </w:rPr>
        <w:t>Pharmingen</w:t>
      </w:r>
      <w:proofErr w:type="spellEnd"/>
      <w:r w:rsidRPr="00A07666">
        <w:rPr>
          <w:rFonts w:ascii="Arial" w:hAnsi="Arial" w:cs="Arial"/>
          <w:sz w:val="22"/>
          <w:szCs w:val="22"/>
        </w:rPr>
        <w:t xml:space="preserve">); CD19 (ECD, Beckman-Coulter); CD27 (APC-Cy7, </w:t>
      </w:r>
      <w:proofErr w:type="spellStart"/>
      <w:r w:rsidRPr="00A07666">
        <w:rPr>
          <w:rFonts w:ascii="Arial" w:hAnsi="Arial" w:cs="Arial"/>
          <w:sz w:val="22"/>
          <w:szCs w:val="22"/>
        </w:rPr>
        <w:t>BioLegend</w:t>
      </w:r>
      <w:proofErr w:type="spellEnd"/>
      <w:r w:rsidRPr="00A07666">
        <w:rPr>
          <w:rFonts w:ascii="Arial" w:hAnsi="Arial" w:cs="Arial"/>
          <w:sz w:val="22"/>
          <w:szCs w:val="22"/>
        </w:rPr>
        <w:t xml:space="preserve">); CD38 (Pe-Cy7), CD138 (APC) (BD </w:t>
      </w:r>
      <w:proofErr w:type="spellStart"/>
      <w:r w:rsidRPr="00A07666">
        <w:rPr>
          <w:rFonts w:ascii="Arial" w:hAnsi="Arial" w:cs="Arial"/>
          <w:sz w:val="22"/>
          <w:szCs w:val="22"/>
        </w:rPr>
        <w:t>BioScience</w:t>
      </w:r>
      <w:proofErr w:type="spellEnd"/>
      <w:r w:rsidRPr="00A07666">
        <w:rPr>
          <w:rFonts w:ascii="Arial" w:hAnsi="Arial" w:cs="Arial"/>
          <w:sz w:val="22"/>
          <w:szCs w:val="22"/>
        </w:rPr>
        <w:t xml:space="preserve">). The protocol for staining cell surface antigens is described elsewhere </w:t>
      </w:r>
      <w:r w:rsidRPr="00A07666">
        <w:rPr>
          <w:rFonts w:ascii="Arial" w:hAnsi="Arial" w:cs="Arial"/>
          <w:sz w:val="22"/>
          <w:szCs w:val="22"/>
        </w:rPr>
        <w:fldChar w:fldCharType="begin">
          <w:fldData xml:space="preserve">PEVuZE5vdGU+PENpdGU+PEF1dGhvcj5XcmFtbWVydDwvQXV0aG9yPjxZZWFyPjIwMDg8L1llYXI+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</w:fldData>
        </w:fldChar>
      </w:r>
      <w:r w:rsidRPr="00A07666">
        <w:rPr>
          <w:rFonts w:ascii="Arial" w:hAnsi="Arial" w:cs="Arial"/>
          <w:sz w:val="22"/>
          <w:szCs w:val="22"/>
        </w:rPr>
        <w:instrText xml:space="preserve"> ADDIN EN.CITE </w:instrText>
      </w:r>
      <w:r w:rsidRPr="00A07666">
        <w:rPr>
          <w:rFonts w:ascii="Arial" w:hAnsi="Arial" w:cs="Arial"/>
          <w:sz w:val="22"/>
          <w:szCs w:val="22"/>
        </w:rPr>
        <w:fldChar w:fldCharType="begin">
          <w:fldData xml:space="preserve">PEVuZE5vdGU+PENpdGU+PEF1dGhvcj5XcmFtbWVydDwvQXV0aG9yPjxZZWFyPjIwMDg8L1llYXI+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</w:fldData>
        </w:fldChar>
      </w:r>
      <w:r w:rsidRPr="00A07666">
        <w:rPr>
          <w:rFonts w:ascii="Arial" w:hAnsi="Arial" w:cs="Arial"/>
          <w:sz w:val="22"/>
          <w:szCs w:val="22"/>
        </w:rPr>
        <w:instrText xml:space="preserve"> ADDIN EN.CITE.DATA </w:instrText>
      </w:r>
      <w:r w:rsidRPr="00A07666">
        <w:rPr>
          <w:rFonts w:ascii="Arial" w:hAnsi="Arial" w:cs="Arial"/>
          <w:sz w:val="22"/>
          <w:szCs w:val="22"/>
        </w:rPr>
      </w:r>
      <w:r w:rsidRPr="00A07666">
        <w:rPr>
          <w:rFonts w:ascii="Arial" w:hAnsi="Arial" w:cs="Arial"/>
          <w:sz w:val="22"/>
          <w:szCs w:val="22"/>
        </w:rPr>
        <w:fldChar w:fldCharType="end"/>
      </w:r>
      <w:r w:rsidRPr="00A07666">
        <w:rPr>
          <w:rFonts w:ascii="Arial" w:hAnsi="Arial" w:cs="Arial"/>
          <w:sz w:val="22"/>
          <w:szCs w:val="22"/>
        </w:rPr>
      </w:r>
      <w:r w:rsidRPr="00A07666">
        <w:rPr>
          <w:rFonts w:ascii="Arial" w:hAnsi="Arial" w:cs="Arial"/>
          <w:sz w:val="22"/>
          <w:szCs w:val="22"/>
        </w:rPr>
        <w:fldChar w:fldCharType="separate"/>
      </w:r>
      <w:r w:rsidRPr="00A07666">
        <w:rPr>
          <w:rFonts w:ascii="Arial" w:hAnsi="Arial" w:cs="Arial"/>
          <w:noProof/>
          <w:sz w:val="22"/>
          <w:szCs w:val="22"/>
        </w:rPr>
        <w:t>(</w:t>
      </w:r>
      <w:hyperlink w:anchor="_ENREF_15" w:tooltip="Wrammert, 2008 #49" w:history="1">
        <w:r w:rsidRPr="00A07666">
          <w:rPr>
            <w:rFonts w:ascii="Arial" w:hAnsi="Arial" w:cs="Arial"/>
            <w:noProof/>
            <w:sz w:val="22"/>
            <w:szCs w:val="22"/>
          </w:rPr>
          <w:t>15</w:t>
        </w:r>
      </w:hyperlink>
      <w:r w:rsidRPr="00A07666">
        <w:rPr>
          <w:rFonts w:ascii="Arial" w:hAnsi="Arial" w:cs="Arial"/>
          <w:noProof/>
          <w:sz w:val="22"/>
          <w:szCs w:val="22"/>
        </w:rPr>
        <w:t>)</w:t>
      </w:r>
      <w:r w:rsidRPr="00A07666">
        <w:rPr>
          <w:rFonts w:ascii="Arial" w:hAnsi="Arial" w:cs="Arial"/>
          <w:sz w:val="22"/>
          <w:szCs w:val="22"/>
        </w:rPr>
        <w:fldChar w:fldCharType="end"/>
      </w:r>
      <w:r w:rsidRPr="00A07666">
        <w:rPr>
          <w:rFonts w:ascii="Arial" w:hAnsi="Arial" w:cs="Arial"/>
          <w:sz w:val="22"/>
          <w:szCs w:val="22"/>
        </w:rPr>
        <w:t xml:space="preserve">. Briefly, two hundred µL of whole blood were added to the listed multicolor staining panel and incubated at room temperature for 15 minutes, followed by </w:t>
      </w:r>
      <w:proofErr w:type="spellStart"/>
      <w:r w:rsidRPr="00A07666">
        <w:rPr>
          <w:rFonts w:ascii="Arial" w:hAnsi="Arial" w:cs="Arial"/>
          <w:sz w:val="22"/>
          <w:szCs w:val="22"/>
        </w:rPr>
        <w:t>lysis</w:t>
      </w:r>
      <w:proofErr w:type="spellEnd"/>
      <w:r w:rsidRPr="00A07666">
        <w:rPr>
          <w:rFonts w:ascii="Arial" w:hAnsi="Arial" w:cs="Arial"/>
          <w:sz w:val="22"/>
          <w:szCs w:val="22"/>
        </w:rPr>
        <w:t xml:space="preserve"> of red blood cells (BD FACS Lyse Solution). Events were collected on a LSRII instrument (BD Biosciences, San Jose, CA) and analysis performed using </w:t>
      </w:r>
      <w:proofErr w:type="spellStart"/>
      <w:r w:rsidRPr="00A07666">
        <w:rPr>
          <w:rFonts w:ascii="Arial" w:hAnsi="Arial" w:cs="Arial"/>
          <w:sz w:val="22"/>
          <w:szCs w:val="22"/>
        </w:rPr>
        <w:t>FlowJo</w:t>
      </w:r>
      <w:proofErr w:type="spellEnd"/>
      <w:r w:rsidRPr="00A07666">
        <w:rPr>
          <w:rFonts w:ascii="Arial" w:hAnsi="Arial" w:cs="Arial"/>
          <w:sz w:val="22"/>
          <w:szCs w:val="22"/>
        </w:rPr>
        <w:t>™ software (</w:t>
      </w:r>
      <w:proofErr w:type="spellStart"/>
      <w:r w:rsidRPr="00A07666">
        <w:rPr>
          <w:rFonts w:ascii="Arial" w:hAnsi="Arial" w:cs="Arial"/>
          <w:sz w:val="22"/>
          <w:szCs w:val="22"/>
        </w:rPr>
        <w:t>Treestar</w:t>
      </w:r>
      <w:proofErr w:type="spellEnd"/>
      <w:r w:rsidRPr="00A0766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07666">
        <w:rPr>
          <w:rFonts w:ascii="Arial" w:hAnsi="Arial" w:cs="Arial"/>
          <w:sz w:val="22"/>
          <w:szCs w:val="22"/>
        </w:rPr>
        <w:t>Inc</w:t>
      </w:r>
      <w:proofErr w:type="spellEnd"/>
      <w:r w:rsidRPr="00A07666">
        <w:rPr>
          <w:rFonts w:ascii="Arial" w:hAnsi="Arial" w:cs="Arial"/>
          <w:sz w:val="22"/>
          <w:szCs w:val="22"/>
        </w:rPr>
        <w:t xml:space="preserve"> version 9.4.11). Naïve B cells were identified as CD19</w:t>
      </w:r>
      <w:r w:rsidRPr="00A07666">
        <w:rPr>
          <w:rFonts w:ascii="Arial" w:hAnsi="Arial" w:cs="Arial"/>
          <w:sz w:val="22"/>
          <w:szCs w:val="22"/>
          <w:vertAlign w:val="superscript"/>
        </w:rPr>
        <w:t>+</w:t>
      </w:r>
      <w:r w:rsidRPr="00A07666">
        <w:rPr>
          <w:rFonts w:ascii="Arial" w:hAnsi="Arial" w:cs="Arial"/>
          <w:sz w:val="22"/>
          <w:szCs w:val="22"/>
        </w:rPr>
        <w:t>IgD</w:t>
      </w:r>
      <w:r w:rsidRPr="00A07666">
        <w:rPr>
          <w:rFonts w:ascii="Arial" w:hAnsi="Arial" w:cs="Arial"/>
          <w:sz w:val="22"/>
          <w:szCs w:val="22"/>
          <w:vertAlign w:val="superscript"/>
        </w:rPr>
        <w:t>+</w:t>
      </w:r>
      <w:r w:rsidRPr="00A07666">
        <w:rPr>
          <w:rFonts w:ascii="Arial" w:hAnsi="Arial" w:cs="Arial"/>
          <w:sz w:val="22"/>
          <w:szCs w:val="22"/>
        </w:rPr>
        <w:t>CD27</w:t>
      </w:r>
      <w:r w:rsidRPr="00A07666">
        <w:rPr>
          <w:rFonts w:ascii="Arial" w:hAnsi="Arial" w:cs="Arial"/>
          <w:sz w:val="22"/>
          <w:szCs w:val="22"/>
          <w:vertAlign w:val="superscript"/>
        </w:rPr>
        <w:t>-</w:t>
      </w:r>
      <w:r w:rsidRPr="00A07666">
        <w:rPr>
          <w:rFonts w:ascii="Arial" w:hAnsi="Arial" w:cs="Arial"/>
          <w:sz w:val="22"/>
          <w:szCs w:val="22"/>
        </w:rPr>
        <w:t>; memory B cells as CD19</w:t>
      </w:r>
      <w:r w:rsidRPr="00A07666">
        <w:rPr>
          <w:rFonts w:ascii="Arial" w:hAnsi="Arial" w:cs="Arial"/>
          <w:sz w:val="22"/>
          <w:szCs w:val="22"/>
          <w:vertAlign w:val="superscript"/>
        </w:rPr>
        <w:t>+</w:t>
      </w:r>
      <w:r w:rsidRPr="00A07666">
        <w:rPr>
          <w:rFonts w:ascii="Arial" w:hAnsi="Arial" w:cs="Arial"/>
          <w:sz w:val="22"/>
          <w:szCs w:val="22"/>
        </w:rPr>
        <w:t>IgD</w:t>
      </w:r>
      <w:r w:rsidRPr="00A07666">
        <w:rPr>
          <w:rFonts w:ascii="Arial" w:hAnsi="Arial" w:cs="Arial"/>
          <w:sz w:val="22"/>
          <w:szCs w:val="22"/>
          <w:vertAlign w:val="superscript"/>
        </w:rPr>
        <w:t>-</w:t>
      </w:r>
      <w:r w:rsidRPr="00A07666">
        <w:rPr>
          <w:rFonts w:ascii="Arial" w:hAnsi="Arial" w:cs="Arial"/>
          <w:sz w:val="22"/>
          <w:szCs w:val="22"/>
        </w:rPr>
        <w:t>CD27</w:t>
      </w:r>
      <w:r w:rsidRPr="00A07666">
        <w:rPr>
          <w:rFonts w:ascii="Arial" w:hAnsi="Arial" w:cs="Arial"/>
          <w:sz w:val="22"/>
          <w:szCs w:val="22"/>
          <w:vertAlign w:val="superscript"/>
        </w:rPr>
        <w:t>+</w:t>
      </w:r>
      <w:r w:rsidRPr="00A07666">
        <w:rPr>
          <w:rFonts w:ascii="Arial" w:hAnsi="Arial" w:cs="Arial"/>
          <w:sz w:val="22"/>
          <w:szCs w:val="22"/>
        </w:rPr>
        <w:t>; transitional B cells as CD19</w:t>
      </w:r>
      <w:r w:rsidRPr="00A07666">
        <w:rPr>
          <w:rFonts w:ascii="Arial" w:hAnsi="Arial" w:cs="Arial"/>
          <w:sz w:val="22"/>
          <w:szCs w:val="22"/>
          <w:vertAlign w:val="superscript"/>
        </w:rPr>
        <w:t>+</w:t>
      </w:r>
      <w:r w:rsidRPr="00A07666">
        <w:rPr>
          <w:rFonts w:ascii="Arial" w:hAnsi="Arial" w:cs="Arial"/>
          <w:sz w:val="22"/>
          <w:szCs w:val="22"/>
        </w:rPr>
        <w:t>CD24</w:t>
      </w:r>
      <w:r w:rsidRPr="00A07666">
        <w:rPr>
          <w:rFonts w:ascii="Arial" w:hAnsi="Arial" w:cs="Arial"/>
          <w:sz w:val="22"/>
          <w:szCs w:val="22"/>
          <w:vertAlign w:val="superscript"/>
        </w:rPr>
        <w:t>+</w:t>
      </w:r>
      <w:r w:rsidRPr="00A07666">
        <w:rPr>
          <w:rFonts w:ascii="Arial" w:hAnsi="Arial" w:cs="Arial"/>
          <w:sz w:val="22"/>
          <w:szCs w:val="22"/>
        </w:rPr>
        <w:t>CD38</w:t>
      </w:r>
      <w:r w:rsidRPr="00A07666">
        <w:rPr>
          <w:rFonts w:ascii="Arial" w:hAnsi="Arial" w:cs="Arial"/>
          <w:sz w:val="22"/>
          <w:szCs w:val="22"/>
          <w:vertAlign w:val="superscript"/>
        </w:rPr>
        <w:t>+</w:t>
      </w:r>
      <w:r w:rsidRPr="00A07666">
        <w:rPr>
          <w:rFonts w:ascii="Arial" w:hAnsi="Arial" w:cs="Arial"/>
          <w:sz w:val="22"/>
          <w:szCs w:val="22"/>
        </w:rPr>
        <w:t xml:space="preserve">; </w:t>
      </w:r>
      <w:proofErr w:type="spellStart"/>
      <w:r w:rsidRPr="00A07666">
        <w:rPr>
          <w:rFonts w:ascii="Arial" w:hAnsi="Arial" w:cs="Arial"/>
          <w:sz w:val="22"/>
          <w:szCs w:val="22"/>
        </w:rPr>
        <w:t>plasmablasts</w:t>
      </w:r>
      <w:proofErr w:type="spellEnd"/>
      <w:r w:rsidRPr="00A07666">
        <w:rPr>
          <w:rFonts w:ascii="Arial" w:hAnsi="Arial" w:cs="Arial"/>
          <w:sz w:val="22"/>
          <w:szCs w:val="22"/>
        </w:rPr>
        <w:t xml:space="preserve"> as CD19</w:t>
      </w:r>
      <w:r w:rsidRPr="00A07666">
        <w:rPr>
          <w:rFonts w:ascii="Arial" w:hAnsi="Arial" w:cs="Arial"/>
          <w:sz w:val="22"/>
          <w:szCs w:val="22"/>
          <w:vertAlign w:val="superscript"/>
        </w:rPr>
        <w:t>+</w:t>
      </w:r>
      <w:r w:rsidRPr="00A07666">
        <w:rPr>
          <w:rFonts w:ascii="Arial" w:hAnsi="Arial" w:cs="Arial"/>
          <w:sz w:val="22"/>
          <w:szCs w:val="22"/>
        </w:rPr>
        <w:t>CD27</w:t>
      </w:r>
      <w:r w:rsidRPr="00A07666">
        <w:rPr>
          <w:rFonts w:ascii="Arial" w:hAnsi="Arial" w:cs="Arial"/>
          <w:sz w:val="22"/>
          <w:szCs w:val="22"/>
          <w:vertAlign w:val="superscript"/>
        </w:rPr>
        <w:t>+</w:t>
      </w:r>
      <w:r w:rsidRPr="00A07666">
        <w:rPr>
          <w:rFonts w:ascii="Arial" w:hAnsi="Arial" w:cs="Arial"/>
          <w:sz w:val="22"/>
          <w:szCs w:val="22"/>
        </w:rPr>
        <w:t>CD38</w:t>
      </w:r>
      <w:r w:rsidRPr="00A07666">
        <w:rPr>
          <w:rFonts w:ascii="Arial" w:hAnsi="Arial" w:cs="Arial"/>
          <w:sz w:val="22"/>
          <w:szCs w:val="22"/>
          <w:vertAlign w:val="superscript"/>
        </w:rPr>
        <w:t>+</w:t>
      </w:r>
      <w:r w:rsidRPr="00A07666">
        <w:rPr>
          <w:rFonts w:ascii="Arial" w:hAnsi="Arial" w:cs="Arial"/>
          <w:sz w:val="22"/>
          <w:szCs w:val="22"/>
        </w:rPr>
        <w:t xml:space="preserve"> and plasma cells as CD19</w:t>
      </w:r>
      <w:r w:rsidRPr="00A07666">
        <w:rPr>
          <w:rFonts w:ascii="Arial" w:hAnsi="Arial" w:cs="Arial"/>
          <w:sz w:val="22"/>
          <w:szCs w:val="22"/>
          <w:vertAlign w:val="superscript"/>
        </w:rPr>
        <w:t>+</w:t>
      </w:r>
      <w:r w:rsidRPr="00A07666">
        <w:rPr>
          <w:rFonts w:ascii="Arial" w:hAnsi="Arial" w:cs="Arial"/>
          <w:sz w:val="22"/>
          <w:szCs w:val="22"/>
        </w:rPr>
        <w:t>CD27</w:t>
      </w:r>
      <w:r w:rsidRPr="00A07666">
        <w:rPr>
          <w:rFonts w:ascii="Arial" w:hAnsi="Arial" w:cs="Arial"/>
          <w:sz w:val="22"/>
          <w:szCs w:val="22"/>
          <w:vertAlign w:val="superscript"/>
        </w:rPr>
        <w:t>+</w:t>
      </w:r>
      <w:r w:rsidRPr="00A07666">
        <w:rPr>
          <w:rFonts w:ascii="Arial" w:hAnsi="Arial" w:cs="Arial"/>
          <w:sz w:val="22"/>
          <w:szCs w:val="22"/>
        </w:rPr>
        <w:t>CD38</w:t>
      </w:r>
      <w:r w:rsidRPr="00A07666">
        <w:rPr>
          <w:rFonts w:ascii="Arial" w:hAnsi="Arial" w:cs="Arial"/>
          <w:sz w:val="22"/>
          <w:szCs w:val="22"/>
          <w:vertAlign w:val="superscript"/>
        </w:rPr>
        <w:t>+</w:t>
      </w:r>
      <w:r w:rsidRPr="00A07666">
        <w:rPr>
          <w:rFonts w:ascii="Arial" w:hAnsi="Arial" w:cs="Arial"/>
          <w:sz w:val="22"/>
          <w:szCs w:val="22"/>
        </w:rPr>
        <w:t>CD138</w:t>
      </w:r>
      <w:r w:rsidRPr="00A07666">
        <w:rPr>
          <w:rFonts w:ascii="Arial" w:hAnsi="Arial" w:cs="Arial"/>
          <w:sz w:val="22"/>
          <w:szCs w:val="22"/>
          <w:vertAlign w:val="superscript"/>
        </w:rPr>
        <w:t>+</w:t>
      </w:r>
      <w:r w:rsidRPr="00A07666">
        <w:rPr>
          <w:rFonts w:ascii="Arial" w:hAnsi="Arial" w:cs="Arial"/>
          <w:sz w:val="22"/>
          <w:szCs w:val="22"/>
        </w:rPr>
        <w:t>.</w:t>
      </w:r>
    </w:p>
    <w:p w14:paraId="587EBC4B" w14:textId="77777777" w:rsidR="00A07666" w:rsidRPr="00A07666" w:rsidRDefault="00A07666" w:rsidP="003B4385">
      <w:pPr>
        <w:autoSpaceDE w:val="0"/>
        <w:autoSpaceDN w:val="0"/>
        <w:adjustRightInd w:val="0"/>
        <w:outlineLvl w:val="0"/>
        <w:rPr>
          <w:rFonts w:ascii="Arial" w:hAnsi="Arial" w:cs="Arial"/>
          <w:b/>
          <w:sz w:val="22"/>
          <w:szCs w:val="22"/>
        </w:rPr>
      </w:pPr>
    </w:p>
    <w:p w14:paraId="110A72F9" w14:textId="77777777" w:rsidR="00A07666" w:rsidRPr="00A07666" w:rsidRDefault="00A07666" w:rsidP="003B4385">
      <w:pPr>
        <w:autoSpaceDE w:val="0"/>
        <w:autoSpaceDN w:val="0"/>
        <w:adjustRightInd w:val="0"/>
        <w:outlineLvl w:val="0"/>
        <w:rPr>
          <w:rFonts w:ascii="Arial" w:hAnsi="Arial" w:cs="Arial"/>
          <w:b/>
          <w:sz w:val="22"/>
          <w:szCs w:val="22"/>
        </w:rPr>
      </w:pPr>
    </w:p>
    <w:p w14:paraId="3729CCEE" w14:textId="1B11A45D" w:rsidR="003B4385" w:rsidRPr="00A07666" w:rsidRDefault="003B4385" w:rsidP="003B4385">
      <w:pPr>
        <w:autoSpaceDE w:val="0"/>
        <w:autoSpaceDN w:val="0"/>
        <w:adjustRightInd w:val="0"/>
        <w:outlineLvl w:val="0"/>
        <w:rPr>
          <w:rFonts w:ascii="Arial" w:hAnsi="Arial" w:cs="Arial"/>
          <w:b/>
          <w:sz w:val="22"/>
          <w:szCs w:val="22"/>
        </w:rPr>
      </w:pPr>
      <w:r w:rsidRPr="00A07666">
        <w:rPr>
          <w:rFonts w:ascii="Arial" w:hAnsi="Arial" w:cs="Arial"/>
          <w:b/>
          <w:sz w:val="22"/>
          <w:szCs w:val="22"/>
        </w:rPr>
        <w:t>Procedure for Staining Cell Surface Antigens:</w:t>
      </w:r>
      <w:r w:rsidR="00B71A41" w:rsidRPr="00A07666">
        <w:rPr>
          <w:rStyle w:val="FootnoteReference"/>
          <w:rFonts w:ascii="Arial" w:hAnsi="Arial" w:cs="Arial"/>
          <w:b/>
          <w:sz w:val="22"/>
          <w:szCs w:val="22"/>
        </w:rPr>
        <w:footnoteReference w:id="1"/>
      </w:r>
    </w:p>
    <w:p w14:paraId="59A7A2EC" w14:textId="77777777" w:rsidR="003B4385" w:rsidRPr="00A07666" w:rsidRDefault="003B4385" w:rsidP="003B438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F22171F" w14:textId="77777777" w:rsidR="003B4385" w:rsidRPr="00A07666" w:rsidRDefault="003B4385" w:rsidP="003B438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07666">
        <w:rPr>
          <w:rFonts w:ascii="Arial" w:hAnsi="Arial" w:cs="Arial"/>
          <w:sz w:val="22"/>
          <w:szCs w:val="22"/>
        </w:rPr>
        <w:t>Aliquot the appropriate volume of antibodies in a 2ml deep well plate according (50uL). Add 200uL of whole blood to each well.</w:t>
      </w:r>
    </w:p>
    <w:p w14:paraId="29DDBC81" w14:textId="77777777" w:rsidR="003B4385" w:rsidRPr="00A07666" w:rsidRDefault="003B4385" w:rsidP="003B438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07666">
        <w:rPr>
          <w:rFonts w:ascii="Arial" w:hAnsi="Arial" w:cs="Arial"/>
          <w:sz w:val="22"/>
          <w:szCs w:val="22"/>
        </w:rPr>
        <w:t>Clean edges with swab, if needed.</w:t>
      </w:r>
    </w:p>
    <w:p w14:paraId="3A957C34" w14:textId="77777777" w:rsidR="003B4385" w:rsidRPr="00A07666" w:rsidRDefault="003B4385" w:rsidP="003B438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07666">
        <w:rPr>
          <w:rFonts w:ascii="Arial" w:hAnsi="Arial" w:cs="Arial"/>
          <w:sz w:val="22"/>
          <w:szCs w:val="22"/>
        </w:rPr>
        <w:t xml:space="preserve">Mix the wells by using a multichannel Pipette or by gentle </w:t>
      </w:r>
      <w:proofErr w:type="spellStart"/>
      <w:r w:rsidRPr="00A07666">
        <w:rPr>
          <w:rFonts w:ascii="Arial" w:hAnsi="Arial" w:cs="Arial"/>
          <w:sz w:val="22"/>
          <w:szCs w:val="22"/>
        </w:rPr>
        <w:t>vortexing</w:t>
      </w:r>
      <w:proofErr w:type="spellEnd"/>
      <w:r w:rsidRPr="00A07666">
        <w:rPr>
          <w:rFonts w:ascii="Arial" w:hAnsi="Arial" w:cs="Arial"/>
          <w:sz w:val="22"/>
          <w:szCs w:val="22"/>
        </w:rPr>
        <w:t xml:space="preserve"> (setting &lt; 8).</w:t>
      </w:r>
    </w:p>
    <w:p w14:paraId="13CA9A7B" w14:textId="77777777" w:rsidR="003B4385" w:rsidRPr="00A07666" w:rsidRDefault="003B4385" w:rsidP="003B438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07666">
        <w:rPr>
          <w:rFonts w:ascii="Arial" w:hAnsi="Arial" w:cs="Arial"/>
          <w:sz w:val="22"/>
          <w:szCs w:val="22"/>
        </w:rPr>
        <w:t>Incubate at RT for 15 minutes.</w:t>
      </w:r>
    </w:p>
    <w:p w14:paraId="5E950E04" w14:textId="014E11E6" w:rsidR="003B4385" w:rsidRPr="00A07666" w:rsidRDefault="003B4385" w:rsidP="003B438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07666">
        <w:rPr>
          <w:rFonts w:ascii="Arial" w:hAnsi="Arial" w:cs="Arial"/>
          <w:sz w:val="22"/>
          <w:szCs w:val="22"/>
        </w:rPr>
        <w:t>After Incubation add 1.5m</w:t>
      </w:r>
      <w:r w:rsidR="00FF4875" w:rsidRPr="00A07666">
        <w:rPr>
          <w:rFonts w:ascii="Arial" w:hAnsi="Arial" w:cs="Arial"/>
          <w:sz w:val="22"/>
          <w:szCs w:val="22"/>
        </w:rPr>
        <w:t xml:space="preserve">l of 1X BD </w:t>
      </w:r>
      <w:proofErr w:type="spellStart"/>
      <w:r w:rsidR="00FF4875" w:rsidRPr="00A07666">
        <w:rPr>
          <w:rFonts w:ascii="Arial" w:hAnsi="Arial" w:cs="Arial"/>
          <w:sz w:val="22"/>
          <w:szCs w:val="22"/>
        </w:rPr>
        <w:t>FACSLyse</w:t>
      </w:r>
      <w:proofErr w:type="spellEnd"/>
      <w:r w:rsidR="00FF4875" w:rsidRPr="00A07666">
        <w:rPr>
          <w:rFonts w:ascii="Arial" w:hAnsi="Arial" w:cs="Arial"/>
          <w:sz w:val="22"/>
          <w:szCs w:val="22"/>
        </w:rPr>
        <w:t xml:space="preserve"> Solution AND</w:t>
      </w:r>
      <w:r w:rsidRPr="00A07666">
        <w:rPr>
          <w:rFonts w:ascii="Arial" w:hAnsi="Arial" w:cs="Arial"/>
          <w:sz w:val="22"/>
          <w:szCs w:val="22"/>
        </w:rPr>
        <w:t xml:space="preserve"> mix well by using multichannel Pipette.</w:t>
      </w:r>
    </w:p>
    <w:p w14:paraId="1747852D" w14:textId="77777777" w:rsidR="003B4385" w:rsidRPr="00A07666" w:rsidRDefault="003B4385" w:rsidP="003B438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07666">
        <w:rPr>
          <w:rFonts w:ascii="Arial" w:hAnsi="Arial" w:cs="Arial"/>
          <w:sz w:val="22"/>
          <w:szCs w:val="22"/>
        </w:rPr>
        <w:t>Incubate for 10 minutes at RT (the cells are fixed at this time point).</w:t>
      </w:r>
    </w:p>
    <w:p w14:paraId="2DCCBB08" w14:textId="77777777" w:rsidR="003B4385" w:rsidRPr="00A07666" w:rsidRDefault="003B4385" w:rsidP="003B438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07666">
        <w:rPr>
          <w:rFonts w:ascii="Arial" w:hAnsi="Arial" w:cs="Arial"/>
          <w:sz w:val="22"/>
          <w:szCs w:val="22"/>
        </w:rPr>
        <w:t>After Incubation centrifuge the deep well plate at 500 x g for 5 minutes with lid on.</w:t>
      </w:r>
    </w:p>
    <w:p w14:paraId="222FF7C7" w14:textId="77777777" w:rsidR="003B4385" w:rsidRPr="00A07666" w:rsidRDefault="003B4385" w:rsidP="003B438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07666">
        <w:rPr>
          <w:rFonts w:ascii="Arial" w:hAnsi="Arial" w:cs="Arial"/>
          <w:sz w:val="22"/>
          <w:szCs w:val="22"/>
        </w:rPr>
        <w:t>Remove supernatant carefully by using vacuum aspirator.</w:t>
      </w:r>
    </w:p>
    <w:p w14:paraId="254146EA" w14:textId="77777777" w:rsidR="003B4385" w:rsidRPr="00A07666" w:rsidRDefault="003B4385" w:rsidP="003B438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07666">
        <w:rPr>
          <w:rFonts w:ascii="Arial" w:hAnsi="Arial" w:cs="Arial"/>
          <w:sz w:val="22"/>
          <w:szCs w:val="22"/>
        </w:rPr>
        <w:t xml:space="preserve">Vortex gently and add 1.5 ml PBS w/o </w:t>
      </w:r>
      <w:proofErr w:type="spellStart"/>
      <w:r w:rsidRPr="00A07666">
        <w:rPr>
          <w:rFonts w:ascii="Arial" w:hAnsi="Arial" w:cs="Arial"/>
          <w:sz w:val="22"/>
          <w:szCs w:val="22"/>
        </w:rPr>
        <w:t>Ca</w:t>
      </w:r>
      <w:proofErr w:type="spellEnd"/>
      <w:r w:rsidRPr="00A07666">
        <w:rPr>
          <w:rFonts w:ascii="Arial" w:hAnsi="Arial" w:cs="Arial"/>
          <w:sz w:val="22"/>
          <w:szCs w:val="22"/>
        </w:rPr>
        <w:t>++, Mg++ and centrifuge at 500 x g for 5 minutes.</w:t>
      </w:r>
    </w:p>
    <w:p w14:paraId="544A4CA2" w14:textId="77777777" w:rsidR="003B4385" w:rsidRPr="00A07666" w:rsidRDefault="003B4385" w:rsidP="003B438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07666">
        <w:rPr>
          <w:rFonts w:ascii="Arial" w:hAnsi="Arial" w:cs="Arial"/>
          <w:sz w:val="22"/>
          <w:szCs w:val="22"/>
        </w:rPr>
        <w:t>Repeat step 8.</w:t>
      </w:r>
    </w:p>
    <w:p w14:paraId="416AC396" w14:textId="77777777" w:rsidR="003B4385" w:rsidRPr="00A07666" w:rsidRDefault="003B4385" w:rsidP="003B438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07666">
        <w:rPr>
          <w:rFonts w:ascii="Arial" w:hAnsi="Arial" w:cs="Arial"/>
          <w:sz w:val="22"/>
          <w:szCs w:val="22"/>
        </w:rPr>
        <w:t>Re-suspend wells with 250uL PBS and mix well.</w:t>
      </w:r>
    </w:p>
    <w:p w14:paraId="37DE1813" w14:textId="77777777" w:rsidR="003B4385" w:rsidRPr="00A07666" w:rsidRDefault="003B4385" w:rsidP="003B438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07666">
        <w:rPr>
          <w:rFonts w:ascii="Arial" w:hAnsi="Arial" w:cs="Arial"/>
          <w:sz w:val="22"/>
          <w:szCs w:val="22"/>
        </w:rPr>
        <w:t>Transfer the contents of wells to a labeled PPN tubes is a PPN Tube Rack.</w:t>
      </w:r>
    </w:p>
    <w:p w14:paraId="5E4E6EC9" w14:textId="7FB6AB15" w:rsidR="003B4385" w:rsidRPr="00A07666" w:rsidRDefault="003B4385" w:rsidP="003B4385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07666">
        <w:rPr>
          <w:rFonts w:ascii="Arial" w:hAnsi="Arial" w:cs="Arial"/>
          <w:sz w:val="22"/>
          <w:szCs w:val="22"/>
        </w:rPr>
        <w:t>Store the PPN Tube Rack at 4°C until analysis by Flow</w:t>
      </w:r>
      <w:r w:rsidR="00F14BEA" w:rsidRPr="00A07666">
        <w:rPr>
          <w:rFonts w:ascii="Arial" w:hAnsi="Arial" w:cs="Arial"/>
          <w:sz w:val="22"/>
          <w:szCs w:val="22"/>
        </w:rPr>
        <w:t xml:space="preserve"> </w:t>
      </w:r>
      <w:r w:rsidRPr="00A07666">
        <w:rPr>
          <w:rFonts w:ascii="Arial" w:hAnsi="Arial" w:cs="Arial"/>
          <w:sz w:val="22"/>
          <w:szCs w:val="22"/>
        </w:rPr>
        <w:t>cytometer (cover with aluminum foil).</w:t>
      </w:r>
    </w:p>
    <w:p w14:paraId="76326377" w14:textId="77777777" w:rsidR="00A54624" w:rsidRPr="00A07666" w:rsidRDefault="00A54624" w:rsidP="00B71A41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89898D4" w14:textId="224CC51B" w:rsidR="00A54624" w:rsidRPr="00A07666" w:rsidRDefault="00A54624" w:rsidP="00B71A41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  <w:r w:rsidRPr="00A07666">
        <w:rPr>
          <w:rFonts w:ascii="Arial" w:hAnsi="Arial" w:cs="Arial"/>
          <w:b/>
          <w:sz w:val="22"/>
          <w:szCs w:val="22"/>
          <w:u w:val="single"/>
        </w:rPr>
        <w:lastRenderedPageBreak/>
        <w:t>Compensation Controls:</w:t>
      </w:r>
    </w:p>
    <w:p w14:paraId="061EB116" w14:textId="04002D9B" w:rsidR="00A54624" w:rsidRPr="00A07666" w:rsidRDefault="00A54624" w:rsidP="00A5462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07666">
        <w:rPr>
          <w:rFonts w:ascii="Arial" w:hAnsi="Arial" w:cs="Arial"/>
          <w:sz w:val="22"/>
          <w:szCs w:val="22"/>
        </w:rPr>
        <w:t xml:space="preserve">FITC: LIN2: </w:t>
      </w:r>
      <w:r w:rsidRPr="00A07666">
        <w:rPr>
          <w:rFonts w:ascii="Arial" w:hAnsi="Arial" w:cs="Arial"/>
          <w:color w:val="FF0000"/>
          <w:sz w:val="22"/>
          <w:szCs w:val="22"/>
        </w:rPr>
        <w:t>2.5uL</w:t>
      </w:r>
    </w:p>
    <w:p w14:paraId="39BC3313" w14:textId="26D626C5" w:rsidR="00A54624" w:rsidRPr="00A07666" w:rsidRDefault="00A54624" w:rsidP="00A5462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A07666">
        <w:rPr>
          <w:rFonts w:ascii="Arial" w:hAnsi="Arial" w:cs="Arial"/>
          <w:sz w:val="22"/>
          <w:szCs w:val="22"/>
        </w:rPr>
        <w:t>Pe</w:t>
      </w:r>
      <w:proofErr w:type="spellEnd"/>
      <w:r w:rsidRPr="00A07666">
        <w:rPr>
          <w:rFonts w:ascii="Arial" w:hAnsi="Arial" w:cs="Arial"/>
          <w:sz w:val="22"/>
          <w:szCs w:val="22"/>
        </w:rPr>
        <w:t xml:space="preserve">: CD3: </w:t>
      </w:r>
      <w:r w:rsidRPr="00A07666">
        <w:rPr>
          <w:rFonts w:ascii="Arial" w:hAnsi="Arial" w:cs="Arial"/>
          <w:color w:val="FF0000"/>
          <w:sz w:val="22"/>
          <w:szCs w:val="22"/>
        </w:rPr>
        <w:t>1uL</w:t>
      </w:r>
    </w:p>
    <w:p w14:paraId="15E254A6" w14:textId="36F5F980" w:rsidR="00A54624" w:rsidRPr="00A07666" w:rsidRDefault="00A54624" w:rsidP="00A5462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07666">
        <w:rPr>
          <w:rFonts w:ascii="Arial" w:hAnsi="Arial" w:cs="Arial"/>
          <w:sz w:val="22"/>
          <w:szCs w:val="22"/>
        </w:rPr>
        <w:t>ECD (=</w:t>
      </w:r>
      <w:proofErr w:type="spellStart"/>
      <w:r w:rsidRPr="00A07666">
        <w:rPr>
          <w:rFonts w:ascii="Arial" w:hAnsi="Arial" w:cs="Arial"/>
          <w:sz w:val="22"/>
          <w:szCs w:val="22"/>
        </w:rPr>
        <w:t>Pe</w:t>
      </w:r>
      <w:proofErr w:type="spellEnd"/>
      <w:r w:rsidRPr="00A07666">
        <w:rPr>
          <w:rFonts w:ascii="Arial" w:hAnsi="Arial" w:cs="Arial"/>
          <w:sz w:val="22"/>
          <w:szCs w:val="22"/>
        </w:rPr>
        <w:t xml:space="preserve">-Texas Red): </w:t>
      </w:r>
      <w:r w:rsidR="0014584E" w:rsidRPr="00A07666">
        <w:rPr>
          <w:rFonts w:ascii="Arial" w:hAnsi="Arial" w:cs="Arial"/>
          <w:sz w:val="22"/>
          <w:szCs w:val="22"/>
        </w:rPr>
        <w:t xml:space="preserve"> CD19: </w:t>
      </w:r>
      <w:r w:rsidRPr="00A07666">
        <w:rPr>
          <w:rFonts w:ascii="Arial" w:hAnsi="Arial" w:cs="Arial"/>
          <w:color w:val="FF0000"/>
          <w:sz w:val="22"/>
          <w:szCs w:val="22"/>
        </w:rPr>
        <w:t>2.5uL</w:t>
      </w:r>
    </w:p>
    <w:p w14:paraId="009A0B78" w14:textId="43577E48" w:rsidR="00A54624" w:rsidRPr="00A07666" w:rsidRDefault="00A54624" w:rsidP="00A5462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07666">
        <w:rPr>
          <w:rFonts w:ascii="Arial" w:hAnsi="Arial" w:cs="Arial"/>
          <w:sz w:val="22"/>
          <w:szCs w:val="22"/>
        </w:rPr>
        <w:t xml:space="preserve">Pe-Cy5: CD8: </w:t>
      </w:r>
      <w:r w:rsidRPr="00A07666">
        <w:rPr>
          <w:rFonts w:ascii="Arial" w:hAnsi="Arial" w:cs="Arial"/>
          <w:color w:val="FF0000"/>
          <w:sz w:val="22"/>
          <w:szCs w:val="22"/>
        </w:rPr>
        <w:t>1.5uL</w:t>
      </w:r>
    </w:p>
    <w:p w14:paraId="68669B0F" w14:textId="6C65E7D1" w:rsidR="00A54624" w:rsidRPr="00A07666" w:rsidRDefault="00A54624" w:rsidP="00A5462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07666">
        <w:rPr>
          <w:rFonts w:ascii="Arial" w:hAnsi="Arial" w:cs="Arial"/>
          <w:sz w:val="22"/>
          <w:szCs w:val="22"/>
        </w:rPr>
        <w:t xml:space="preserve">Pe-Cy7: CD4: </w:t>
      </w:r>
      <w:r w:rsidRPr="00A07666">
        <w:rPr>
          <w:rFonts w:ascii="Arial" w:hAnsi="Arial" w:cs="Arial"/>
          <w:color w:val="FF0000"/>
          <w:sz w:val="22"/>
          <w:szCs w:val="22"/>
        </w:rPr>
        <w:t>1.5uL</w:t>
      </w:r>
    </w:p>
    <w:p w14:paraId="0E945AA3" w14:textId="3EF34C04" w:rsidR="00A54624" w:rsidRPr="00A07666" w:rsidRDefault="00A54624" w:rsidP="00A5462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07666">
        <w:rPr>
          <w:rFonts w:ascii="Arial" w:hAnsi="Arial" w:cs="Arial"/>
          <w:sz w:val="22"/>
          <w:szCs w:val="22"/>
        </w:rPr>
        <w:t xml:space="preserve">Pacific Blue: CD4: </w:t>
      </w:r>
      <w:r w:rsidRPr="00A07666">
        <w:rPr>
          <w:rFonts w:ascii="Arial" w:hAnsi="Arial" w:cs="Arial"/>
          <w:color w:val="FF0000"/>
          <w:sz w:val="22"/>
          <w:szCs w:val="22"/>
        </w:rPr>
        <w:t>1uL</w:t>
      </w:r>
    </w:p>
    <w:p w14:paraId="1C7B3D81" w14:textId="097DB784" w:rsidR="00A54624" w:rsidRPr="00A07666" w:rsidRDefault="00A54624" w:rsidP="00A5462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  <w:r w:rsidRPr="00A07666">
        <w:rPr>
          <w:rFonts w:ascii="Arial" w:hAnsi="Arial" w:cs="Arial"/>
          <w:sz w:val="22"/>
          <w:szCs w:val="22"/>
        </w:rPr>
        <w:t>Pacific Orange (=</w:t>
      </w:r>
      <w:proofErr w:type="spellStart"/>
      <w:r w:rsidRPr="00A07666">
        <w:rPr>
          <w:rFonts w:ascii="Arial" w:hAnsi="Arial" w:cs="Arial"/>
          <w:sz w:val="22"/>
          <w:szCs w:val="22"/>
        </w:rPr>
        <w:t>Qdot</w:t>
      </w:r>
      <w:proofErr w:type="spellEnd"/>
      <w:r w:rsidRPr="00A07666">
        <w:rPr>
          <w:rFonts w:ascii="Arial" w:hAnsi="Arial" w:cs="Arial"/>
          <w:sz w:val="22"/>
          <w:szCs w:val="22"/>
        </w:rPr>
        <w:t xml:space="preserve"> 565): CD45: </w:t>
      </w:r>
      <w:r w:rsidRPr="00A07666">
        <w:rPr>
          <w:rFonts w:ascii="Arial" w:hAnsi="Arial" w:cs="Arial"/>
          <w:color w:val="FF0000"/>
          <w:sz w:val="22"/>
          <w:szCs w:val="22"/>
        </w:rPr>
        <w:t>1.25</w:t>
      </w:r>
      <w:r w:rsidR="0014584E" w:rsidRPr="00A0766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14584E" w:rsidRPr="00A07666">
        <w:rPr>
          <w:rFonts w:ascii="Arial" w:hAnsi="Arial" w:cs="Arial"/>
          <w:color w:val="FF0000"/>
          <w:sz w:val="22"/>
          <w:szCs w:val="22"/>
        </w:rPr>
        <w:t>ul</w:t>
      </w:r>
      <w:proofErr w:type="spellEnd"/>
    </w:p>
    <w:p w14:paraId="16B7FA3D" w14:textId="13C51717" w:rsidR="00A54624" w:rsidRPr="00A07666" w:rsidRDefault="00A54624" w:rsidP="00A5462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07666">
        <w:rPr>
          <w:rFonts w:ascii="Arial" w:hAnsi="Arial" w:cs="Arial"/>
          <w:sz w:val="22"/>
          <w:szCs w:val="22"/>
        </w:rPr>
        <w:t xml:space="preserve">APC: CD16: </w:t>
      </w:r>
      <w:r w:rsidRPr="00A07666">
        <w:rPr>
          <w:rFonts w:ascii="Arial" w:hAnsi="Arial" w:cs="Arial"/>
          <w:color w:val="FF0000"/>
          <w:sz w:val="22"/>
          <w:szCs w:val="22"/>
        </w:rPr>
        <w:t>1uL</w:t>
      </w:r>
    </w:p>
    <w:p w14:paraId="644DB27B" w14:textId="08B7C0BB" w:rsidR="00A54624" w:rsidRPr="00A07666" w:rsidRDefault="00A54624" w:rsidP="00A5462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07666">
        <w:rPr>
          <w:rFonts w:ascii="Arial" w:hAnsi="Arial" w:cs="Arial"/>
          <w:sz w:val="22"/>
          <w:szCs w:val="22"/>
        </w:rPr>
        <w:t xml:space="preserve">Alexa F. 700: CD3: </w:t>
      </w:r>
      <w:r w:rsidRPr="00A07666">
        <w:rPr>
          <w:rFonts w:ascii="Arial" w:hAnsi="Arial" w:cs="Arial"/>
          <w:color w:val="FF0000"/>
          <w:sz w:val="22"/>
          <w:szCs w:val="22"/>
        </w:rPr>
        <w:t>0.5uL</w:t>
      </w:r>
    </w:p>
    <w:p w14:paraId="0B13913E" w14:textId="768C88BD" w:rsidR="00A54624" w:rsidRPr="00A07666" w:rsidRDefault="00A54624" w:rsidP="00A5462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A07666">
        <w:rPr>
          <w:rFonts w:ascii="Arial" w:hAnsi="Arial" w:cs="Arial"/>
          <w:sz w:val="22"/>
          <w:szCs w:val="22"/>
          <w:lang w:val="pt-BR"/>
        </w:rPr>
        <w:t xml:space="preserve">APC-H7: CD8: </w:t>
      </w:r>
      <w:r w:rsidRPr="00A07666">
        <w:rPr>
          <w:rFonts w:ascii="Arial" w:hAnsi="Arial" w:cs="Arial"/>
          <w:color w:val="FF0000"/>
          <w:sz w:val="22"/>
          <w:szCs w:val="22"/>
          <w:lang w:val="pt-BR"/>
        </w:rPr>
        <w:t>1.75uL</w:t>
      </w:r>
      <w:r w:rsidR="00FF4875" w:rsidRPr="00A07666">
        <w:rPr>
          <w:rFonts w:ascii="Arial" w:hAnsi="Arial" w:cs="Arial"/>
          <w:color w:val="FF0000"/>
          <w:sz w:val="22"/>
          <w:szCs w:val="22"/>
          <w:lang w:val="pt-BR"/>
        </w:rPr>
        <w:t xml:space="preserve"> </w:t>
      </w:r>
      <w:r w:rsidR="00FF4875" w:rsidRPr="00A07666">
        <w:rPr>
          <w:rFonts w:ascii="Arial" w:hAnsi="Arial" w:cs="Arial"/>
          <w:sz w:val="22"/>
          <w:szCs w:val="22"/>
          <w:lang w:val="pt-BR"/>
        </w:rPr>
        <w:t>(=APC-Cy7)</w:t>
      </w:r>
    </w:p>
    <w:p w14:paraId="2B115197" w14:textId="3DE45093" w:rsidR="00FF4875" w:rsidRPr="00A07666" w:rsidRDefault="00FF4875" w:rsidP="00A5462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07666">
        <w:rPr>
          <w:rFonts w:ascii="Arial" w:hAnsi="Arial" w:cs="Arial"/>
          <w:sz w:val="22"/>
          <w:szCs w:val="22"/>
        </w:rPr>
        <w:t xml:space="preserve">Pe-Cy5.5: CD11c: </w:t>
      </w:r>
      <w:r w:rsidRPr="00A07666">
        <w:rPr>
          <w:rFonts w:ascii="Arial" w:hAnsi="Arial" w:cs="Arial"/>
          <w:color w:val="FF0000"/>
          <w:sz w:val="22"/>
          <w:szCs w:val="22"/>
        </w:rPr>
        <w:t>3uL</w:t>
      </w:r>
    </w:p>
    <w:p w14:paraId="712BE264" w14:textId="77777777" w:rsidR="00A54624" w:rsidRPr="00A07666" w:rsidRDefault="00A54624" w:rsidP="00B71A41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B990D51" w14:textId="77777777" w:rsidR="00A54624" w:rsidRPr="00A07666" w:rsidRDefault="00A54624" w:rsidP="00B71A41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95AD8FF" w14:textId="1214EDF1" w:rsidR="00D918CC" w:rsidRPr="00A07666" w:rsidRDefault="00FF4875" w:rsidP="00B71A41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  <w:r w:rsidRPr="00A07666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5AFA781" wp14:editId="37140312">
            <wp:extent cx="5925879" cy="44444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879" cy="444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666">
        <w:rPr>
          <w:rFonts w:ascii="Arial" w:hAnsi="Arial" w:cs="Arial"/>
          <w:noProof/>
          <w:sz w:val="22"/>
          <w:szCs w:val="22"/>
        </w:rPr>
        <w:t xml:space="preserve"> </w:t>
      </w:r>
      <w:r w:rsidR="00D216C1" w:rsidRPr="00A07666">
        <w:rPr>
          <w:rFonts w:ascii="Arial" w:hAnsi="Arial" w:cs="Arial"/>
          <w:noProof/>
          <w:sz w:val="22"/>
          <w:szCs w:val="22"/>
        </w:rPr>
        <w:t>Ctrl=1.25 PO CD45</w:t>
      </w:r>
    </w:p>
    <w:sectPr w:rsidR="00D918CC" w:rsidRPr="00A07666" w:rsidSect="00B71A41">
      <w:pgSz w:w="12240" w:h="15840"/>
      <w:pgMar w:top="1440" w:right="1800" w:bottom="81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BED4AB" w14:textId="77777777" w:rsidR="00066FCC" w:rsidRDefault="00066FCC" w:rsidP="00B71A41">
      <w:r>
        <w:separator/>
      </w:r>
    </w:p>
  </w:endnote>
  <w:endnote w:type="continuationSeparator" w:id="0">
    <w:p w14:paraId="01EB6392" w14:textId="77777777" w:rsidR="00066FCC" w:rsidRDefault="00066FCC" w:rsidP="00B71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New-Roman-Bold+2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6506B2" w14:textId="77777777" w:rsidR="00066FCC" w:rsidRDefault="00066FCC" w:rsidP="00B71A41">
      <w:r>
        <w:separator/>
      </w:r>
    </w:p>
  </w:footnote>
  <w:footnote w:type="continuationSeparator" w:id="0">
    <w:p w14:paraId="51B503CF" w14:textId="77777777" w:rsidR="00066FCC" w:rsidRDefault="00066FCC" w:rsidP="00B71A41">
      <w:r>
        <w:continuationSeparator/>
      </w:r>
    </w:p>
  </w:footnote>
  <w:footnote w:id="1">
    <w:p w14:paraId="0EDB534A" w14:textId="09078E6A" w:rsidR="00F14BEA" w:rsidRPr="00A8210D" w:rsidRDefault="00F14BEA">
      <w:pPr>
        <w:pStyle w:val="FootnoteText"/>
        <w:rPr>
          <w:lang w:val="pt-BR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E612F"/>
    <w:multiLevelType w:val="hybridMultilevel"/>
    <w:tmpl w:val="2F5418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E293CCE"/>
    <w:multiLevelType w:val="hybridMultilevel"/>
    <w:tmpl w:val="4394F738"/>
    <w:lvl w:ilvl="0" w:tplc="0608A2F0">
      <w:start w:val="1"/>
      <w:numFmt w:val="decimal"/>
      <w:lvlText w:val="%1."/>
      <w:lvlJc w:val="left"/>
      <w:pPr>
        <w:ind w:left="720" w:hanging="360"/>
      </w:pPr>
      <w:rPr>
        <w:rFonts w:cs="Times-New-Roman-Bold+2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7B5862"/>
    <w:multiLevelType w:val="hybridMultilevel"/>
    <w:tmpl w:val="C1708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385"/>
    <w:rsid w:val="00066FCC"/>
    <w:rsid w:val="0014584E"/>
    <w:rsid w:val="001F2051"/>
    <w:rsid w:val="00393CD4"/>
    <w:rsid w:val="003B4385"/>
    <w:rsid w:val="005D2735"/>
    <w:rsid w:val="0098722A"/>
    <w:rsid w:val="00A07666"/>
    <w:rsid w:val="00A54624"/>
    <w:rsid w:val="00A620FB"/>
    <w:rsid w:val="00A8210D"/>
    <w:rsid w:val="00B71A41"/>
    <w:rsid w:val="00CB2084"/>
    <w:rsid w:val="00CD0B16"/>
    <w:rsid w:val="00D216C1"/>
    <w:rsid w:val="00D47352"/>
    <w:rsid w:val="00D918CC"/>
    <w:rsid w:val="00E26C41"/>
    <w:rsid w:val="00F14BEA"/>
    <w:rsid w:val="00FF48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BB0B71"/>
  <w15:docId w15:val="{53E45CB7-F879-4613-8E14-7AE61BE3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385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C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CD4"/>
    <w:rPr>
      <w:rFonts w:ascii="Lucida Grande" w:eastAsia="Times New Roman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93C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B71A41"/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71A41"/>
    <w:rPr>
      <w:rFonts w:ascii="Times New Roman" w:eastAsia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unhideWhenUsed/>
    <w:rsid w:val="00B71A41"/>
    <w:rPr>
      <w:vertAlign w:val="superscript"/>
    </w:rPr>
  </w:style>
  <w:style w:type="paragraph" w:styleId="ListParagraph">
    <w:name w:val="List Paragraph"/>
    <w:basedOn w:val="Normal"/>
    <w:uiPriority w:val="34"/>
    <w:qFormat/>
    <w:rsid w:val="00A54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372281-E938-4B1D-B034-695283D43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NCHRI</Company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Lopez, Santiago</dc:creator>
  <cp:lastModifiedBy>Vinod, Parvathi</cp:lastModifiedBy>
  <cp:revision>2</cp:revision>
  <cp:lastPrinted>2012-08-15T12:09:00Z</cp:lastPrinted>
  <dcterms:created xsi:type="dcterms:W3CDTF">2014-05-02T13:51:00Z</dcterms:created>
  <dcterms:modified xsi:type="dcterms:W3CDTF">2014-05-02T13:51:00Z</dcterms:modified>
</cp:coreProperties>
</file>