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6B7F"/>
          <w:sz w:val="16"/>
          <w:szCs w:val="16"/>
        </w:rPr>
        <w:t xml:space="preserve">Atria University · Centre of Excellence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6202E"/>
          <w:sz w:val="32"/>
          <w:szCs w:val="32"/>
        </w:rPr>
        <w:t xml:space="preserve">Solar–BESS Dispatch Simulator — System Design v2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B6B7F"/>
          <w:sz w:val="19"/>
          <w:szCs w:val="19"/>
        </w:rPr>
        <w:t xml:space="preserve">Baseline Scenarios 1–3 · includes build guide, variable dictionary, user-input map, and output samples · status: implemented (dispatch_sim v1)</w:t>
      </w:r>
    </w:p>
    <w:p>
      <w:pPr>
        <w:pBdr>
          <w:bottom w:val="single" w:color="D8DEE6" w:sz="4" w:space="2"/>
        </w:pBdr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20"/>
          <w:szCs w:val="20"/>
        </w:rPr>
        <w:t xml:space="preserve">1.  HOW THE SYSTEM IS BUILT — STEP BY STEP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02E"/>
          <w:sz w:val="20"/>
          <w:szCs w:val="20"/>
        </w:rPr>
        <w:t xml:space="preserve">The build follows the team plan's order, bottom-up, each layer tested before the next: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4540"/>
      </w:tblGrid>
      <w:tr>
        <w:tc>
          <w:tcPr>
            <w:tcW w:type="dxa" w:w="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7"/>
                <w:szCs w:val="17"/>
              </w:rPr>
              <w:t xml:space="preserve">Step</w:t>
            </w:r>
          </w:p>
        </w:tc>
        <w:tc>
          <w:tcPr>
            <w:tcW w:type="dxa" w:w="52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7"/>
                <w:szCs w:val="17"/>
              </w:rPr>
              <w:t xml:space="preserve">What is built</w:t>
            </w:r>
          </w:p>
        </w:tc>
        <w:tc>
          <w:tcPr>
            <w:tcW w:type="dxa" w:w="45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7"/>
                <w:szCs w:val="17"/>
              </w:rPr>
              <w:t xml:space="preserve">Why in this order</w:t>
            </w:r>
          </w:p>
        </w:tc>
      </w:tr>
      <w:tr>
        <w:tc>
          <w:tcPr>
            <w:tcW w:type="dxa" w:w="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1</w:t>
            </w:r>
          </w:p>
        </w:tc>
        <w:tc>
          <w:tcPr>
            <w:tcW w:type="dxa" w:w="52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DSM settlement module (core/dsm_settlement.py): deviation % of Available Capacity per Reg 6(2); marginal volume-limit band slices at contract-rate-linked charges per Reg 8(4). Band tables read from dsm_bands.yaml.</w:t>
            </w:r>
          </w:p>
        </w:tc>
        <w:tc>
          <w:tcPr>
            <w:tcW w:type="dxa" w:w="45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The regulation math is the highest-risk piece; 20 hand-computed tests pin it before anything depends on it</w:t>
            </w:r>
          </w:p>
        </w:tc>
      </w:tr>
      <w:tr>
        <w:tc>
          <w:tcPr>
            <w:tcW w:type="dxa" w:w="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2</w:t>
            </w:r>
          </w:p>
        </w:tc>
        <w:tc>
          <w:tcPr>
            <w:tcW w:type="dxa" w:w="52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Battery model (core/battery.py): SoC bookkeeping, C-rate and SoC 10–90% limits, one-way efficiency √RTE, throughput counter.</w:t>
            </w:r>
          </w:p>
        </w:tc>
        <w:tc>
          <w:tcPr>
            <w:tcW w:type="dxa" w:w="45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Pure physics, testable in isolation; both S2 and S3 reuse it</w:t>
            </w:r>
          </w:p>
        </w:tc>
      </w:tr>
      <w:tr>
        <w:tc>
          <w:tcPr>
            <w:tcW w:type="dxa" w:w="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3</w:t>
            </w:r>
          </w:p>
        </w:tc>
        <w:tc>
          <w:tcPr>
            <w:tcW w:type="dxa" w:w="52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Ledger (core/ledger.py): for each 15-min block combines schedule vs delivered → DSM settlement, degradation, O&amp;M → a profit row.</w:t>
            </w:r>
          </w:p>
        </w:tc>
        <w:tc>
          <w:tcPr>
            <w:tcW w:type="dxa" w:w="45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One P&amp;L definition shared by every scenario — numbers stay comparable</w:t>
            </w:r>
          </w:p>
        </w:tc>
      </w:tr>
      <w:tr>
        <w:tc>
          <w:tcPr>
            <w:tcW w:type="dxa" w:w="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4</w:t>
            </w:r>
          </w:p>
        </w:tc>
        <w:tc>
          <w:tcPr>
            <w:tcW w:type="dxa" w:w="52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Runners (runners/rules.py): S1, S2, S3 as thin rule layers that only decide the schedule and how power flows; everything else is the shared engine.</w:t>
            </w:r>
          </w:p>
        </w:tc>
        <w:tc>
          <w:tcPr>
            <w:tcW w:type="dxa" w:w="45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Adding Scenario 5 later means adding one runner, nothing else</w:t>
            </w:r>
          </w:p>
        </w:tc>
      </w:tr>
      <w:tr>
        <w:tc>
          <w:tcPr>
            <w:tcW w:type="dxa" w:w="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5</w:t>
            </w:r>
          </w:p>
        </w:tc>
        <w:tc>
          <w:tcPr>
            <w:tcW w:type="dxa" w:w="52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IO (io/loaders.py, io/report.py): CSV/JSON/YAML in, xlsx out.</w:t>
            </w:r>
          </w:p>
        </w:tc>
        <w:tc>
          <w:tcPr>
            <w:tcW w:type="dxa" w:w="45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Input and output contracts frozen last, once the engine is stable</w:t>
            </w:r>
          </w:p>
        </w:tc>
      </w:tr>
      <w:tr>
        <w:tc>
          <w:tcPr>
            <w:tcW w:type="dxa" w:w="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6</w:t>
            </w:r>
          </w:p>
        </w:tc>
        <w:tc>
          <w:tcPr>
            <w:tcW w:type="dxa" w:w="52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CLI (cli.py) + sample day data: one command runs everything end to end.</w:t>
            </w:r>
          </w:p>
        </w:tc>
        <w:tc>
          <w:tcPr>
            <w:tcW w:type="dxa" w:w="45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The demonstrable 'input in → output out' the director asked for</w:t>
            </w:r>
          </w:p>
        </w:tc>
      </w:tr>
    </w:tbl>
    <w:p>
      <w:pPr>
        <w:pBdr>
          <w:bottom w:val="single" w:color="D8DEE6" w:sz="4" w:space="2"/>
        </w:pBdr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20"/>
          <w:szCs w:val="20"/>
        </w:rPr>
        <w:t xml:space="preserve">2.  WHERE THE USER INPUTS, WHAT COMES OUT</w:t>
      </w:r>
    </w:p>
    <w:p>
      <w:pPr>
        <w:spacing w:after="100"/>
        <w:jc w:val="center"/>
      </w:pPr>
      <w:r>
        <w:drawing>
          <wp:inline distT="0" distB="0" distL="0" distR="0">
            <wp:extent cx="62865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6202E"/>
          <w:sz w:val="20"/>
          <w:szCs w:val="20"/>
        </w:rPr>
        <w:t xml:space="preserve">Two kinds of user input, deliberately separated: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02E"/>
          <w:sz w:val="20"/>
          <w:szCs w:val="20"/>
        </w:rPr>
        <w:t xml:space="preserve">per-day data files (the forecast and actual CSVs from the forecasting module and plant telemetry, plus the flexitwin battery export) and edit-once settings (YAML files holding the commercial terms, CERC bands, and scenario rules). An analyst never touches Python code to change an assumption — only YAML.</w:t>
      </w:r>
    </w:p>
    <w:p>
      <w:pPr>
        <w:pBdr>
          <w:bottom w:val="single" w:color="D8DEE6" w:sz="4" w:space="2"/>
        </w:pBdr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20"/>
          <w:szCs w:val="20"/>
        </w:rPr>
        <w:t xml:space="preserve">3.  VARIABLE DICTIONARY — EVERY INPUT THE SIMULATION TAKES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16202E"/>
          <w:sz w:val="18"/>
          <w:szCs w:val="18"/>
        </w:rPr>
        <w:t xml:space="preserve">Grouped by where the user provides it. NC = needs confirmation from the named team; the value shown is the working placeholder.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6202E"/>
          <w:sz w:val="20"/>
          <w:szCs w:val="20"/>
        </w:rPr>
        <w:t xml:space="preserve">A · Time-series data files (per day)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3300"/>
        <w:gridCol w:w="3140"/>
      </w:tblGrid>
      <w:tr>
        <w:tc>
          <w:tcPr>
            <w:tcW w:type="dxa" w:w="2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7"/>
                <w:szCs w:val="17"/>
              </w:rPr>
              <w:t xml:space="preserve">Variable</w:t>
            </w:r>
          </w:p>
        </w:tc>
        <w:tc>
          <w:tcPr>
            <w:tcW w:type="dxa" w:w="1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7"/>
                <w:szCs w:val="17"/>
              </w:rPr>
              <w:t xml:space="preserve">Unit</w:t>
            </w:r>
          </w:p>
        </w:tc>
        <w:tc>
          <w:tcPr>
            <w:tcW w:type="dxa" w:w="3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7"/>
                <w:szCs w:val="17"/>
              </w:rPr>
              <w:t xml:space="preserve">Meaning</w:t>
            </w:r>
          </w:p>
        </w:tc>
        <w:tc>
          <w:tcPr>
            <w:tcW w:type="dxa" w:w="31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2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forecast_mw[t], t=0..95</w:t>
            </w:r>
          </w:p>
        </w:tc>
        <w:tc>
          <w:tcPr>
            <w:tcW w:type="dxa" w:w="1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MW</w:t>
            </w:r>
          </w:p>
        </w:tc>
        <w:tc>
          <w:tcPr>
            <w:tcW w:type="dxa" w:w="3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Day-ahead generation forecast per 15-min block; becomes the basis of the submitted schedule</w:t>
            </w:r>
          </w:p>
        </w:tc>
        <w:tc>
          <w:tcPr>
            <w:tcW w:type="dxa" w:w="31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Forecasting module CSV</w:t>
            </w:r>
          </w:p>
        </w:tc>
      </w:tr>
      <w:tr>
        <w:tc>
          <w:tcPr>
            <w:tcW w:type="dxa" w:w="2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actual_mw[t]</w:t>
            </w:r>
          </w:p>
        </w:tc>
        <w:tc>
          <w:tcPr>
            <w:tcW w:type="dxa" w:w="1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MW</w:t>
            </w:r>
          </w:p>
        </w:tc>
        <w:tc>
          <w:tcPr>
            <w:tcW w:type="dxa" w:w="3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Realized generation per block</w:t>
            </w:r>
          </w:p>
        </w:tc>
        <w:tc>
          <w:tcPr>
            <w:tcW w:type="dxa" w:w="31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Plant telemetry CSV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6202E"/>
          <w:sz w:val="20"/>
          <w:szCs w:val="20"/>
        </w:rPr>
        <w:t xml:space="preserve">B · Plant &amp; commercial (plant.yaml)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3300"/>
        <w:gridCol w:w="3140"/>
      </w:tblGrid>
      <w:tr>
        <w:tc>
          <w:tcPr>
            <w:tcW w:type="dxa" w:w="2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7"/>
                <w:szCs w:val="17"/>
              </w:rPr>
              <w:t xml:space="preserve">Variable</w:t>
            </w:r>
          </w:p>
        </w:tc>
        <w:tc>
          <w:tcPr>
            <w:tcW w:type="dxa" w:w="1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7"/>
                <w:szCs w:val="17"/>
              </w:rPr>
              <w:t xml:space="preserve">Unit</w:t>
            </w:r>
          </w:p>
        </w:tc>
        <w:tc>
          <w:tcPr>
            <w:tcW w:type="dxa" w:w="3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7"/>
                <w:szCs w:val="17"/>
              </w:rPr>
              <w:t xml:space="preserve">Meaning</w:t>
            </w:r>
          </w:p>
        </w:tc>
        <w:tc>
          <w:tcPr>
            <w:tcW w:type="dxa" w:w="31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2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plant_mw = 10</w:t>
            </w:r>
          </w:p>
        </w:tc>
        <w:tc>
          <w:tcPr>
            <w:tcW w:type="dxa" w:w="1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MW</w:t>
            </w:r>
          </w:p>
        </w:tc>
        <w:tc>
          <w:tcPr>
            <w:tcW w:type="dxa" w:w="3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Installed capacity; AvC per block = plant_mw × 0.25 MWh — the DSM denominator</w:t>
            </w:r>
          </w:p>
        </w:tc>
        <w:tc>
          <w:tcPr>
            <w:tcW w:type="dxa" w:w="31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Project spec</w:t>
            </w:r>
          </w:p>
        </w:tc>
      </w:tr>
      <w:tr>
        <w:tc>
          <w:tcPr>
            <w:tcW w:type="dxa" w:w="2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ppa_rate = 2.60 (NC)</w:t>
            </w:r>
          </w:p>
        </w:tc>
        <w:tc>
          <w:tcPr>
            <w:tcW w:type="dxa" w:w="1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₹/kWh</w:t>
            </w:r>
          </w:p>
        </w:tc>
        <w:tc>
          <w:tcPr>
            <w:tcW w:type="dxa" w:w="3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Flat PPA contract rate; also the base for every DSM band charge</w:t>
            </w:r>
          </w:p>
        </w:tc>
        <w:tc>
          <w:tcPr>
            <w:tcW w:type="dxa" w:w="31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Signed PPA (range 2.5–3.5)</w:t>
            </w:r>
          </w:p>
        </w:tc>
      </w:tr>
      <w:tr>
        <w:tc>
          <w:tcPr>
            <w:tcW w:type="dxa" w:w="2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om_inr_per_day = 20,000 (NC)</w:t>
            </w:r>
          </w:p>
        </w:tc>
        <w:tc>
          <w:tcPr>
            <w:tcW w:type="dxa" w:w="1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₹/day</w:t>
            </w:r>
          </w:p>
        </w:tc>
        <w:tc>
          <w:tcPr>
            <w:tcW w:type="dxa" w:w="3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Fixed O&amp;M, allocated equally to 96 blocks (decision D4)</w:t>
            </w:r>
          </w:p>
        </w:tc>
        <w:tc>
          <w:tcPr>
            <w:tcW w:type="dxa" w:w="31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Project finance team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6202E"/>
          <w:sz w:val="20"/>
          <w:szCs w:val="20"/>
        </w:rPr>
        <w:t xml:space="preserve">C · CERC DSM rules (dsm_bands.yaml)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3300"/>
        <w:gridCol w:w="3140"/>
      </w:tblGrid>
      <w:tr>
        <w:tc>
          <w:tcPr>
            <w:tcW w:type="dxa" w:w="2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7"/>
                <w:szCs w:val="17"/>
              </w:rPr>
              <w:t xml:space="preserve">Variable</w:t>
            </w:r>
          </w:p>
        </w:tc>
        <w:tc>
          <w:tcPr>
            <w:tcW w:type="dxa" w:w="1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7"/>
                <w:szCs w:val="17"/>
              </w:rPr>
              <w:t xml:space="preserve">Unit</w:t>
            </w:r>
          </w:p>
        </w:tc>
        <w:tc>
          <w:tcPr>
            <w:tcW w:type="dxa" w:w="3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7"/>
                <w:szCs w:val="17"/>
              </w:rPr>
              <w:t xml:space="preserve">Meaning</w:t>
            </w:r>
          </w:p>
        </w:tc>
        <w:tc>
          <w:tcPr>
            <w:tcW w:type="dxa" w:w="31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2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denominator = available_capacity</w:t>
            </w:r>
          </w:p>
        </w:tc>
        <w:tc>
          <w:tcPr>
            <w:tcW w:type="dxa" w:w="1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—</w:t>
            </w:r>
          </w:p>
        </w:tc>
        <w:tc>
          <w:tcPr>
            <w:tcW w:type="dxa" w:w="3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Basis of deviation %: AvC per Reg 6(2); 'blended' supported for the 2026 amendment</w:t>
            </w:r>
          </w:p>
        </w:tc>
        <w:tc>
          <w:tcPr>
            <w:tcW w:type="dxa" w:w="31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CERC DSM 2024</w:t>
            </w:r>
          </w:p>
        </w:tc>
      </w:tr>
      <w:tr>
        <w:tc>
          <w:tcPr>
            <w:tcW w:type="dxa" w:w="2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volume_limits_pct = [5, 10, 20]</w:t>
            </w:r>
          </w:p>
        </w:tc>
        <w:tc>
          <w:tcPr>
            <w:tcW w:type="dxa" w:w="1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% of AvC</w:t>
            </w:r>
          </w:p>
        </w:tc>
        <w:tc>
          <w:tcPr>
            <w:tcW w:type="dxa" w:w="3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VL1/VL2/VL3 band edges for solar; deviation split marginally across them</w:t>
            </w:r>
          </w:p>
        </w:tc>
        <w:tc>
          <w:tcPr>
            <w:tcW w:type="dxa" w:w="31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Reg 8(4) (NC vs notified text)</w:t>
            </w:r>
          </w:p>
        </w:tc>
      </w:tr>
      <w:tr>
        <w:tc>
          <w:tcPr>
            <w:tcW w:type="dxa" w:w="2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over_rates = [1.0, 0.9, 0.5, 0]</w:t>
            </w:r>
          </w:p>
        </w:tc>
        <w:tc>
          <w:tcPr>
            <w:tcW w:type="dxa" w:w="1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× PPA rate</w:t>
            </w:r>
          </w:p>
        </w:tc>
        <w:tc>
          <w:tcPr>
            <w:tcW w:type="dxa" w:w="3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What the seller is PAID per band for over-injection</w:t>
            </w:r>
          </w:p>
        </w:tc>
        <w:tc>
          <w:tcPr>
            <w:tcW w:type="dxa" w:w="31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Reg 8(4)</w:t>
            </w:r>
          </w:p>
        </w:tc>
      </w:tr>
      <w:tr>
        <w:tc>
          <w:tcPr>
            <w:tcW w:type="dxa" w:w="2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under_rates = [1.0, 1.1, 1.5, 2.0]</w:t>
            </w:r>
          </w:p>
        </w:tc>
        <w:tc>
          <w:tcPr>
            <w:tcW w:type="dxa" w:w="1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× PPA rate</w:t>
            </w:r>
          </w:p>
        </w:tc>
        <w:tc>
          <w:tcPr>
            <w:tcW w:type="dxa" w:w="3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What the seller PAYS per band for under-injection</w:t>
            </w:r>
          </w:p>
        </w:tc>
        <w:tc>
          <w:tcPr>
            <w:tcW w:type="dxa" w:w="31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Reg 8(4)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6202E"/>
          <w:sz w:val="20"/>
          <w:szCs w:val="20"/>
        </w:rPr>
        <w:t xml:space="preserve">D · Battery (flexitwin JSON) — used by S2 and S3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3300"/>
        <w:gridCol w:w="3140"/>
      </w:tblGrid>
      <w:tr>
        <w:tc>
          <w:tcPr>
            <w:tcW w:type="dxa" w:w="2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7"/>
                <w:szCs w:val="17"/>
              </w:rPr>
              <w:t xml:space="preserve">Variable</w:t>
            </w:r>
          </w:p>
        </w:tc>
        <w:tc>
          <w:tcPr>
            <w:tcW w:type="dxa" w:w="1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7"/>
                <w:szCs w:val="17"/>
              </w:rPr>
              <w:t xml:space="preserve">Unit</w:t>
            </w:r>
          </w:p>
        </w:tc>
        <w:tc>
          <w:tcPr>
            <w:tcW w:type="dxa" w:w="3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7"/>
                <w:szCs w:val="17"/>
              </w:rPr>
              <w:t xml:space="preserve">Meaning</w:t>
            </w:r>
          </w:p>
        </w:tc>
        <w:tc>
          <w:tcPr>
            <w:tcW w:type="dxa" w:w="31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2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batteryUsableCapacity = 40</w:t>
            </w:r>
          </w:p>
        </w:tc>
        <w:tc>
          <w:tcPr>
            <w:tcW w:type="dxa" w:w="1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MWh</w:t>
            </w:r>
          </w:p>
        </w:tc>
        <w:tc>
          <w:tcPr>
            <w:tcW w:type="dxa" w:w="3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Usable energy capacity</w:t>
            </w:r>
          </w:p>
        </w:tc>
        <w:tc>
          <w:tcPr>
            <w:tcW w:type="dxa" w:w="31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flexitwin</w:t>
            </w:r>
          </w:p>
        </w:tc>
      </w:tr>
      <w:tr>
        <w:tc>
          <w:tcPr>
            <w:tcW w:type="dxa" w:w="2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cRateMW = 20 (NC)</w:t>
            </w:r>
          </w:p>
        </w:tc>
        <w:tc>
          <w:tcPr>
            <w:tcW w:type="dxa" w:w="1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MW</w:t>
            </w:r>
          </w:p>
        </w:tc>
        <w:tc>
          <w:tcPr>
            <w:tcW w:type="dxa" w:w="3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Max charge/discharge power</w:t>
            </w:r>
          </w:p>
        </w:tc>
        <w:tc>
          <w:tcPr>
            <w:tcW w:type="dxa" w:w="31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Battery spec sheet</w:t>
            </w:r>
          </w:p>
        </w:tc>
      </w:tr>
      <w:tr>
        <w:tc>
          <w:tcPr>
            <w:tcW w:type="dxa" w:w="2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roundTripEfficiency = 0.88 (NC)</w:t>
            </w:r>
          </w:p>
        </w:tc>
        <w:tc>
          <w:tcPr>
            <w:tcW w:type="dxa" w:w="1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—</w:t>
            </w:r>
          </w:p>
        </w:tc>
        <w:tc>
          <w:tcPr>
            <w:tcW w:type="dxa" w:w="3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RTE; one-way η = √RTE applied on charge and on discharge</w:t>
            </w:r>
          </w:p>
        </w:tc>
        <w:tc>
          <w:tcPr>
            <w:tcW w:type="dxa" w:w="31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Battery spec sheet</w:t>
            </w:r>
          </w:p>
        </w:tc>
      </w:tr>
      <w:tr>
        <w:tc>
          <w:tcPr>
            <w:tcW w:type="dxa" w:w="2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socMinPct/socMaxPct = 10/90 (NC)</w:t>
            </w:r>
          </w:p>
        </w:tc>
        <w:tc>
          <w:tcPr>
            <w:tcW w:type="dxa" w:w="1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%</w:t>
            </w:r>
          </w:p>
        </w:tc>
        <w:tc>
          <w:tcPr>
            <w:tcW w:type="dxa" w:w="3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Operating SoC window</w:t>
            </w:r>
          </w:p>
        </w:tc>
        <w:tc>
          <w:tcPr>
            <w:tcW w:type="dxa" w:w="31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Assumed, needs sign-off</w:t>
            </w:r>
          </w:p>
        </w:tc>
      </w:tr>
      <w:tr>
        <w:tc>
          <w:tcPr>
            <w:tcW w:type="dxa" w:w="2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degradation = 2.5 (NC)</w:t>
            </w:r>
          </w:p>
        </w:tc>
        <w:tc>
          <w:tcPr>
            <w:tcW w:type="dxa" w:w="1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₹/kWh</w:t>
            </w:r>
          </w:p>
        </w:tc>
        <w:tc>
          <w:tcPr>
            <w:tcW w:type="dxa" w:w="3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Cost per kWh of throughput × 0.5 (decision D3); the single most sensitive input</w:t>
            </w:r>
          </w:p>
        </w:tc>
        <w:tc>
          <w:tcPr>
            <w:tcW w:type="dxa" w:w="31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Estimated ₹2–3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6202E"/>
          <w:sz w:val="20"/>
          <w:szCs w:val="20"/>
        </w:rPr>
        <w:t xml:space="preserve">E · Scenario rules (scenario_s2/s3.yaml)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3300"/>
        <w:gridCol w:w="3140"/>
      </w:tblGrid>
      <w:tr>
        <w:tc>
          <w:tcPr>
            <w:tcW w:type="dxa" w:w="2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7"/>
                <w:szCs w:val="17"/>
              </w:rPr>
              <w:t xml:space="preserve">Variable</w:t>
            </w:r>
          </w:p>
        </w:tc>
        <w:tc>
          <w:tcPr>
            <w:tcW w:type="dxa" w:w="1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7"/>
                <w:szCs w:val="17"/>
              </w:rPr>
              <w:t xml:space="preserve">Unit</w:t>
            </w:r>
          </w:p>
        </w:tc>
        <w:tc>
          <w:tcPr>
            <w:tcW w:type="dxa" w:w="3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7"/>
                <w:szCs w:val="17"/>
              </w:rPr>
              <w:t xml:space="preserve">Meaning</w:t>
            </w:r>
          </w:p>
        </w:tc>
        <w:tc>
          <w:tcPr>
            <w:tcW w:type="dxa" w:w="31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shd w:fill="F4F6F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B6B7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2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revise_schedule_for_rte = true</w:t>
            </w:r>
          </w:p>
        </w:tc>
        <w:tc>
          <w:tcPr>
            <w:tcW w:type="dxa" w:w="1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—</w:t>
            </w:r>
          </w:p>
        </w:tc>
        <w:tc>
          <w:tcPr>
            <w:tcW w:type="dxa" w:w="3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S2: schedule = forecast × RTE, so the plant schedules what it can actually deliver (decision D1)</w:t>
            </w:r>
          </w:p>
        </w:tc>
        <w:tc>
          <w:tcPr>
            <w:tcW w:type="dxa" w:w="31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Design decision</w:t>
            </w:r>
          </w:p>
        </w:tc>
      </w:tr>
      <w:tr>
        <w:tc>
          <w:tcPr>
            <w:tcW w:type="dxa" w:w="2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charge_window = 09:00–14:00 (NC)</w:t>
            </w:r>
          </w:p>
        </w:tc>
        <w:tc>
          <w:tcPr>
            <w:tcW w:type="dxa" w:w="1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—</w:t>
            </w:r>
          </w:p>
        </w:tc>
        <w:tc>
          <w:tcPr>
            <w:tcW w:type="dxa" w:w="3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S3: when the battery charges</w:t>
            </w:r>
          </w:p>
        </w:tc>
        <w:tc>
          <w:tcPr>
            <w:tcW w:type="dxa" w:w="31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To be agreed with team</w:t>
            </w:r>
          </w:p>
        </w:tc>
      </w:tr>
      <w:tr>
        <w:tc>
          <w:tcPr>
            <w:tcW w:type="dxa" w:w="2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discharge_window = 18:00–22:00 (NC)</w:t>
            </w:r>
          </w:p>
        </w:tc>
        <w:tc>
          <w:tcPr>
            <w:tcW w:type="dxa" w:w="1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—</w:t>
            </w:r>
          </w:p>
        </w:tc>
        <w:tc>
          <w:tcPr>
            <w:tcW w:type="dxa" w:w="3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S3: when it discharges (one cycle/day)</w:t>
            </w:r>
          </w:p>
        </w:tc>
        <w:tc>
          <w:tcPr>
            <w:tcW w:type="dxa" w:w="31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To be agreed with team</w:t>
            </w:r>
          </w:p>
        </w:tc>
      </w:tr>
      <w:tr>
        <w:tc>
          <w:tcPr>
            <w:tcW w:type="dxa" w:w="2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charge_fraction = 0.35</w:t>
            </w:r>
          </w:p>
        </w:tc>
        <w:tc>
          <w:tcPr>
            <w:tcW w:type="dxa" w:w="1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—</w:t>
            </w:r>
          </w:p>
        </w:tc>
        <w:tc>
          <w:tcPr>
            <w:tcW w:type="dxa" w:w="3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S3: share of in-window generation diverted to the battery</w:t>
            </w:r>
          </w:p>
        </w:tc>
        <w:tc>
          <w:tcPr>
            <w:tcW w:type="dxa" w:w="31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Tunable</w:t>
            </w:r>
          </w:p>
        </w:tc>
      </w:tr>
      <w:tr>
        <w:tc>
          <w:tcPr>
            <w:tcW w:type="dxa" w:w="27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schedule_integrated = true</w:t>
            </w:r>
          </w:p>
        </w:tc>
        <w:tc>
          <w:tcPr>
            <w:tcW w:type="dxa" w:w="1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—</w:t>
            </w:r>
          </w:p>
        </w:tc>
        <w:tc>
          <w:tcPr>
            <w:tcW w:type="dxa" w:w="330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S3: planned charge/discharge baked into the schedule so timed discharge earns full PPA rate (decision D2)</w:t>
            </w:r>
          </w:p>
        </w:tc>
        <w:tc>
          <w:tcPr>
            <w:tcW w:type="dxa" w:w="3140"/>
            <w:tcBorders>
              <w:top w:val="single" w:color="D8DEE6" w:sz="2"/>
              <w:left w:val="none" w:color="FFFFFF" w:sz="0"/>
              <w:bottom w:val="single" w:color="D8DEE6" w:sz="2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202E"/>
                <w:sz w:val="17"/>
                <w:szCs w:val="17"/>
              </w:rPr>
              <w:t xml:space="preserve">Design decision</w:t>
            </w:r>
          </w:p>
        </w:tc>
      </w:tr>
    </w:tbl>
    <w:p>
      <w:pPr>
        <w:pBdr>
          <w:bottom w:val="single" w:color="D8DEE6" w:sz="4" w:space="2"/>
        </w:pBdr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20"/>
          <w:szCs w:val="20"/>
        </w:rPr>
        <w:t xml:space="preserve">4.  WHAT THE SIMULATION COMPUTES PER BLOCK (DERIVED, NOT INPUT)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02E"/>
          <w:sz w:val="19"/>
          <w:szCs w:val="19"/>
        </w:rPr>
        <w:t xml:space="preserve">For every 15-min block t: scheduled_mwh and delivered_mwh; deviation = delivered − scheduled; deviation % = deviation ÷ AvC; the deviation is split into marginal band slices and charged/paid per the rate tables above; degradation = block throughput × 1000 × ₹/kWh × 0.5; om = om_inr_per_day ÷ 96; and finally profit = ppa_revenue + dsm_receivable − dsm_payable − degradation − om. Battery blocks additionally record state of charge. The identity profit-components = actual×rate − penalty is unit-tested.</w:t>
      </w:r>
    </w:p>
    <w:p>
      <w:pPr>
        <w:pBdr>
          <w:bottom w:val="single" w:color="D8DEE6" w:sz="4" w:space="2"/>
        </w:pBdr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20"/>
          <w:szCs w:val="20"/>
        </w:rPr>
        <w:t xml:space="preserve">5.  WHAT THE OUTPUT LOOKS LIKE</w:t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02E"/>
          <w:sz w:val="20"/>
          <w:szCs w:val="20"/>
        </w:rPr>
        <w:t xml:space="preserve">Each scenario writes one workbook. Sheet “blocks” is the plan's required 96-row spreadsheet — actual render of a generated file:</w:t>
      </w:r>
    </w:p>
    <w:p>
      <w:pPr>
        <w:spacing w:after="100"/>
        <w:jc w:val="center"/>
      </w:pPr>
      <w:r>
        <w:drawing>
          <wp:inline distT="0" distB="0" distL="0" distR="0">
            <wp:extent cx="6286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02E"/>
          <w:sz w:val="19"/>
          <w:szCs w:val="19"/>
        </w:rPr>
        <w:t xml:space="preserve">Sheet “summary” holds live SUM formulas over the blocks plus the config audit snapshot; comparison.xlsx puts the three scenarios side by side with profit as formulas and the built-in S2-worse-than-S1 check. The same ScenarioResult feeds the Streamlit app for the director's live demo. Sample-day results: S1 ₹118,777 · S2 −₹37,583 · S3 ₹80,523 — confirming the plan's expectation that under a flat PPA the battery cannot pay for itself on DSM avoidance alone.</w:t>
      </w:r>
    </w:p>
    <w:p>
      <w:pPr>
        <w:pBdr>
          <w:bottom w:val="single" w:color="D8DEE6" w:sz="4" w:space="2"/>
        </w:pBdr>
        <w:spacing w:after="8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20"/>
          <w:szCs w:val="20"/>
        </w:rPr>
        <w:t xml:space="preserve">6.  RUN IT</w:t>
      </w:r>
    </w:p>
    <w:p>
      <w:pPr>
        <w:shd w:fill="F4F6F8" w:val="clear"/>
        <w:spacing w:after="60"/>
        <w:ind w:left="2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6202E"/>
          <w:sz w:val="16"/>
          <w:szCs w:val="16"/>
        </w:rPr>
        <w:t xml:space="preserve">python -m dispatch_sim.cli run-all --forecast sample_data/forecast_2026-06-14.csv --actual sample_data/actual_2026-06-14.csv --battery sample_data/flexitwin_battery.json --out output/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02E"/>
          <w:sz w:val="19"/>
          <w:szCs w:val="19"/>
        </w:rPr>
        <w:t xml:space="preserve">Swapping the sample CSVs for real forecast-module output and telemetry requires no code changes — the input contract (96 rows, columns time,mw) is the only requirement.</w:t>
      </w:r>
    </w:p>
    <w:sectPr>
      <w:pgSz w:w="11906" w:h="16838" w:orient="portrait"/>
      <w:pgMar w:top="8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80" w:hanging="1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00e850ccf127c8bc06648cba2f92ef115dbfdae.undefined"/><Relationship Id="rId8" Type="http://schemas.openxmlformats.org/officeDocument/2006/relationships/image" Target="media/abb92558f94cda4f6722f68ebace399f3c7ce313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2026-07-16T10:09:22.965Z</dcterms:created>
  <dcterms:modified xsi:type="dcterms:W3CDTF">2026-07-16T10:09:22.982Z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