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F"/>
          <w:sz w:val="16"/>
          <w:szCs w:val="16"/>
        </w:rPr>
        <w:t xml:space="preserve">Atria University · Centre of Excellence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32"/>
          <w:szCs w:val="32"/>
        </w:rPr>
        <w:t xml:space="preserve">Dispatch Strategy Simulator — Project Proposal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B6B7F"/>
          <w:sz w:val="20"/>
          <w:szCs w:val="20"/>
        </w:rPr>
        <w:t xml:space="preserve">An independent product for evaluating solar IPP dispatch strategies under CERC DSM 2024</w:t>
      </w:r>
    </w:p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OBJECTIVE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A web-based simulator that answers one question for a solar IPP: </w:t>
      </w: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what would dispatch strategy X have earned over period 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 It quantifies DSM penalties, battery economics, and merchant (IEX) opportunity for a reference 10 MW plant, using real historical market data. Strategies are pluggable — positioning the product as the demonstration front-end for the Agentic Grid optimizer (“rule-based earns ₹X; the optimizer earns ₹X+Δ”).</w:t>
      </w:r>
    </w:p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LAUNCH SCENARIOS (V1)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2740"/>
      </w:tblGrid>
      <w:tr>
        <w:tc>
          <w:tcPr>
            <w:tcW w:type="dxa" w:w="25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Scenario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Question answered</w:t>
            </w:r>
          </w:p>
        </w:tc>
        <w:tc>
          <w:tcPr>
            <w:tcW w:type="dxa" w:w="27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Key outputs</w:t>
            </w:r>
          </w:p>
        </w:tc>
      </w:tr>
      <w:tr>
        <w:tc>
          <w:tcPr>
            <w:tcW w:type="dxa" w:w="25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S1 · PPA baseline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DSM paid on forecast error; opportunity gap of PPA vs selling on IEX DAM</w:t>
            </w:r>
          </w:p>
        </w:tc>
        <w:tc>
          <w:tcPr>
            <w:tcW w:type="dxa" w:w="27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DSM ₹/day, IEX gap ₹/day</w:t>
            </w:r>
          </w:p>
        </w:tc>
      </w:tr>
      <w:tr>
        <w:tc>
          <w:tcPr>
            <w:tcW w:type="dxa" w:w="25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S2 · Battery-first (20 MW)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All generation via BESS: DSM → ~0, but round-trip loss + degradation cost</w:t>
            </w:r>
          </w:p>
        </w:tc>
        <w:tc>
          <w:tcPr>
            <w:tcW w:type="dxa" w:w="27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Net Δ vs S1, cycling cost</w:t>
            </w:r>
          </w:p>
        </w:tc>
      </w:tr>
      <w:tr>
        <w:tc>
          <w:tcPr>
            <w:tcW w:type="dxa" w:w="25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S3 · Rule-based dispatch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Charge at solar noon, discharge into evening IEX peak; BESS buffers deviations</w:t>
            </w:r>
          </w:p>
        </w:tc>
        <w:tc>
          <w:tcPr>
            <w:tcW w:type="dxa" w:w="27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Arbitrage uplift, residual DSM</w:t>
            </w:r>
          </w:p>
        </w:tc>
      </w:tr>
    </w:tbl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Simulation engine (Python package):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pure, unit-tested functions. Core module implements the exact CERC DSM 2024 WS-seller settlement — deviation as % of Available Capacity, marginal volume-limit bands (5/10/20% for solar) at contract-rate-linked charges — with configurable band tables to absorb the 2026 amendments.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FastAPI service: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stateless endpoints — /simulate, /compare, /datasets. Engine remains importable standalone for notebooks and MILP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React dashboard (prototype exists): day-profile chart, strategy P&amp;L comparison, per-run PDF report export.</w:t>
      </w:r>
    </w:p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DATA STRATEGY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v1 = historical replay, not live feeds: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6–12 months of IEX DAM/RTM prices (downloadable CSVs) + real or irradiance-derived generation (Solcast/Open-Meteo) for a reference site. Credible “this is what June actually looked like” numbers with zero live-infrastructure risk. Live telemetry and price feeds are a v2 upsell.</w:t>
      </w:r>
    </w:p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PLAN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40"/>
        <w:gridCol w:w="2000"/>
      </w:tblGrid>
      <w:tr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Phase</w:t>
            </w:r>
          </w:p>
        </w:tc>
        <w:tc>
          <w:tcPr>
            <w:tcW w:type="dxa" w:w="64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1</w:t>
            </w:r>
          </w:p>
        </w:tc>
        <w:tc>
          <w:tcPr>
            <w:tcW w:type="dxa" w:w="64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CERC DSM settlement engine + data ingestion; S1 validated against hand-computed settlements</w:t>
            </w:r>
          </w:p>
        </w:tc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Weeks 1–2</w:t>
            </w:r>
          </w:p>
        </w:tc>
      </w:tr>
      <w:tr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2</w:t>
            </w:r>
          </w:p>
        </w:tc>
        <w:tc>
          <w:tcPr>
            <w:tcW w:type="dxa" w:w="64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Battery model (RTE, power/energy limits, ₹/kWh-cycled degradation) + S2, S3 strategies; API layer</w:t>
            </w:r>
          </w:p>
        </w:tc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Weeks 3–4</w:t>
            </w:r>
          </w:p>
        </w:tc>
      </w:tr>
      <w:tr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3</w:t>
            </w:r>
          </w:p>
        </w:tc>
        <w:tc>
          <w:tcPr>
            <w:tcW w:type="dxa" w:w="64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Frontend integration, multi-day/monthly aggregation, comparison view, PDF report export</w:t>
            </w:r>
          </w:p>
        </w:tc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Weeks 5–6</w:t>
            </w:r>
          </w:p>
        </w:tc>
      </w:tr>
      <w:tr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4 (later)</w:t>
            </w:r>
          </w:p>
        </w:tc>
        <w:tc>
          <w:tcPr>
            <w:tcW w:type="dxa" w:w="64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Live feeds; MILP-optimal as Strategy #4; multi-plant configuration</w:t>
            </w:r>
          </w:p>
        </w:tc>
        <w:tc>
          <w:tcPr>
            <w:tcW w:type="dxa" w:w="20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8"/>
                <w:szCs w:val="18"/>
              </w:rPr>
              <w:t xml:space="preserve">Post-launch</w:t>
            </w:r>
          </w:p>
        </w:tc>
      </w:tr>
    </w:tbl>
    <w:p>
      <w:pPr>
        <w:pBdr>
          <w:bottom w:val="single" w:color="D8DEE6" w:sz="4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8"/>
          <w:szCs w:val="18"/>
        </w:rPr>
        <w:t xml:space="preserve">DECISIONS REQUIRED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19"/>
          <w:szCs w:val="19"/>
        </w:rPr>
        <w:t xml:space="preserve">(1) Target end user — internal analysts vs prospective IPP clients (decides polish, auth, multi-tenancy). (2) Reference plant: fixed 10 MW or configurable capacity. (3) DSM regime version to certify against (2024 notified vs 2026 amendment bands). (4) Revenue basis for battery scenarios: per-day operating margin vs annualized with capex amortization — S2/S3 conclusions flip on this.</w:t>
      </w:r>
    </w:p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2026-07-13T08:26:44.832Z</dcterms:created>
  <dcterms:modified xsi:type="dcterms:W3CDTF">2026-07-13T08:26:44.849Z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