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15A2" w14:textId="77777777" w:rsidR="00510D80" w:rsidRDefault="00510D80">
      <w:pPr>
        <w:spacing w:before="800"/>
      </w:pPr>
    </w:p>
    <w:p w14:paraId="4057C7AF" w14:textId="77777777" w:rsidR="00510D80" w:rsidRDefault="00000000">
      <w:pPr>
        <w:jc w:val="center"/>
      </w:pPr>
      <w:r>
        <w:rPr>
          <w:rFonts w:ascii="Arial" w:eastAsia="Arial" w:hAnsi="Arial" w:cs="Arial"/>
          <w:b/>
          <w:bCs/>
          <w:color w:val="1A3C6E"/>
          <w:sz w:val="52"/>
          <w:szCs w:val="52"/>
        </w:rPr>
        <w:t>PROJECT CHARTER</w:t>
      </w:r>
    </w:p>
    <w:p w14:paraId="02946AA1" w14:textId="77777777" w:rsidR="00510D80" w:rsidRDefault="00510D80">
      <w:pPr>
        <w:spacing w:before="80"/>
      </w:pPr>
    </w:p>
    <w:p w14:paraId="12CB651A" w14:textId="77777777" w:rsidR="00510D80" w:rsidRDefault="00000000">
      <w:pPr>
        <w:jc w:val="center"/>
      </w:pPr>
      <w:r>
        <w:rPr>
          <w:rFonts w:ascii="Arial" w:eastAsia="Arial" w:hAnsi="Arial" w:cs="Arial"/>
          <w:color w:val="444444"/>
          <w:sz w:val="30"/>
          <w:szCs w:val="30"/>
        </w:rPr>
        <w:t>ServiceOntario Digital Transformation Initiative</w:t>
      </w:r>
    </w:p>
    <w:p w14:paraId="1FF25C48" w14:textId="77777777" w:rsidR="00510D80" w:rsidRDefault="00510D80">
      <w:pPr>
        <w:spacing w:before="60"/>
      </w:pPr>
    </w:p>
    <w:p w14:paraId="2FCB0BBA" w14:textId="77777777" w:rsidR="00510D80" w:rsidRDefault="00000000">
      <w:pPr>
        <w:pBdr>
          <w:top w:val="single" w:sz="6" w:space="4" w:color="1A3C6E"/>
          <w:bottom w:val="single" w:sz="6" w:space="4" w:color="1A3C6E"/>
        </w:pBdr>
        <w:jc w:val="center"/>
      </w:pPr>
      <w:r>
        <w:rPr>
          <w:sz w:val="10"/>
          <w:szCs w:val="10"/>
        </w:rPr>
        <w:t xml:space="preserve"> </w:t>
      </w:r>
    </w:p>
    <w:p w14:paraId="1B8DA2AF" w14:textId="77777777" w:rsidR="00510D80" w:rsidRDefault="00510D80">
      <w:pPr>
        <w:spacing w:before="60"/>
      </w:pPr>
    </w:p>
    <w:p w14:paraId="23A6CB53" w14:textId="7C6B0661" w:rsidR="00510D80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Prepared by:  </w:t>
      </w:r>
      <w:r w:rsidR="0042584F">
        <w:rPr>
          <w:rFonts w:ascii="Arial" w:eastAsia="Arial" w:hAnsi="Arial" w:cs="Arial"/>
          <w:color w:val="222222"/>
          <w:sz w:val="22"/>
          <w:szCs w:val="22"/>
        </w:rPr>
        <w:t>Aishwarya Senthil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 — Business Analyst</w:t>
      </w:r>
    </w:p>
    <w:p w14:paraId="50D2E806" w14:textId="77777777" w:rsidR="00510D80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Version:  </w:t>
      </w:r>
      <w:r>
        <w:rPr>
          <w:rFonts w:ascii="Arial" w:eastAsia="Arial" w:hAnsi="Arial" w:cs="Arial"/>
          <w:color w:val="222222"/>
          <w:sz w:val="22"/>
          <w:szCs w:val="22"/>
        </w:rPr>
        <w:t>1.0</w:t>
      </w:r>
    </w:p>
    <w:p w14:paraId="461C02D9" w14:textId="77777777" w:rsidR="00510D80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Date:  </w:t>
      </w:r>
      <w:r>
        <w:rPr>
          <w:rFonts w:ascii="Arial" w:eastAsia="Arial" w:hAnsi="Arial" w:cs="Arial"/>
          <w:color w:val="222222"/>
          <w:sz w:val="22"/>
          <w:szCs w:val="22"/>
        </w:rPr>
        <w:t>June 2026</w:t>
      </w:r>
    </w:p>
    <w:p w14:paraId="3BA6226A" w14:textId="77777777" w:rsidR="00510D80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Status:  </w:t>
      </w:r>
      <w:r>
        <w:rPr>
          <w:rFonts w:ascii="Arial" w:eastAsia="Arial" w:hAnsi="Arial" w:cs="Arial"/>
          <w:color w:val="222222"/>
          <w:sz w:val="22"/>
          <w:szCs w:val="22"/>
        </w:rPr>
        <w:t>Draft for Review</w:t>
      </w:r>
    </w:p>
    <w:p w14:paraId="6F82FF57" w14:textId="6E53171A" w:rsidR="00510D80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Project </w:t>
      </w:r>
      <w:r w:rsidR="0042584F">
        <w:rPr>
          <w:rFonts w:ascii="Arial" w:eastAsia="Arial" w:hAnsi="Arial" w:cs="Arial"/>
          <w:b/>
          <w:bCs/>
          <w:color w:val="555555"/>
          <w:sz w:val="22"/>
          <w:szCs w:val="22"/>
        </w:rPr>
        <w:t>source</w:t>
      </w:r>
      <w:r>
        <w:rPr>
          <w:rFonts w:ascii="Arial" w:eastAsia="Arial" w:hAnsi="Arial" w:cs="Arial"/>
          <w:b/>
          <w:bCs/>
          <w:color w:val="555555"/>
          <w:sz w:val="22"/>
          <w:szCs w:val="22"/>
        </w:rPr>
        <w:t xml:space="preserve">:  </w:t>
      </w:r>
      <w:r>
        <w:rPr>
          <w:rFonts w:ascii="Arial" w:eastAsia="Arial" w:hAnsi="Arial" w:cs="Arial"/>
          <w:color w:val="222222"/>
          <w:sz w:val="22"/>
          <w:szCs w:val="22"/>
        </w:rPr>
        <w:t>Deputy Minister, Ministry of Public and Business Service Delivery</w:t>
      </w:r>
    </w:p>
    <w:p w14:paraId="0F8AADB6" w14:textId="77777777" w:rsidR="00510D80" w:rsidRDefault="00510D80">
      <w:pPr>
        <w:spacing w:before="400"/>
      </w:pPr>
    </w:p>
    <w:p w14:paraId="5636D165" w14:textId="77777777" w:rsidR="00510D80" w:rsidRDefault="00000000">
      <w:pPr>
        <w:jc w:val="center"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>BA Portfolio Project  ·  Phase 1 of 5</w:t>
      </w:r>
    </w:p>
    <w:p w14:paraId="100BE4F7" w14:textId="77777777" w:rsidR="00510D80" w:rsidRDefault="00000000">
      <w:r>
        <w:br w:type="page"/>
      </w:r>
    </w:p>
    <w:p w14:paraId="335B7FF8" w14:textId="77777777" w:rsidR="00510D80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lastRenderedPageBreak/>
        <w:t>1. Problem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0D80" w14:paraId="06C3E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491553" w14:textId="77777777" w:rsidR="00510D80" w:rsidRDefault="00000000">
            <w:r>
              <w:rPr>
                <w:rFonts w:ascii="Arial" w:eastAsia="Arial" w:hAnsi="Arial" w:cs="Arial"/>
                <w:sz w:val="22"/>
                <w:szCs w:val="22"/>
              </w:rPr>
              <w:t>ServiceOntario currently requires residents to visit physical locations or submit paper-based applications to renew health cards, driver's licences, and vehicle permits. This creates significant barriers including long in-person wait times (avg. 47 minutes per visit), limited service hours, geographic inequity for rural residents, and high operational cost per transaction ($28.40 in-person vs. $2.10 digital). With over 6.2 million service transactions processed annually, the current model is unsustainable and fails to meet resident expectations for accessible, modern government services.</w:t>
            </w:r>
          </w:p>
        </w:tc>
      </w:tr>
    </w:tbl>
    <w:p w14:paraId="25B05D39" w14:textId="77777777" w:rsidR="00510D80" w:rsidRDefault="00510D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8715"/>
      </w:tblGrid>
      <w:tr w:rsidR="00510D80" w14:paraId="013F194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5169D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8D1B" w14:textId="77777777" w:rsidR="00510D80" w:rsidRDefault="00000000">
            <w:r>
              <w:rPr>
                <w:rFonts w:ascii="Arial" w:eastAsia="Arial" w:hAnsi="Arial" w:cs="Arial"/>
                <w:i/>
                <w:iCs/>
                <w:color w:val="5C3800"/>
              </w:rPr>
              <w:t>A good BA writes the problem in terms of impact on people and the organization — not in terms of technology. There is no mention of 'we need an app' here. You prove the problem first with data, then recommend a solution later.</w:t>
            </w:r>
          </w:p>
        </w:tc>
      </w:tr>
    </w:tbl>
    <w:p w14:paraId="6CB8A149" w14:textId="77777777" w:rsidR="00510D80" w:rsidRDefault="00510D80">
      <w:pPr>
        <w:spacing w:before="120"/>
      </w:pPr>
    </w:p>
    <w:p w14:paraId="02106316" w14:textId="77777777" w:rsidR="00510D80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2. Business Objectives</w:t>
      </w:r>
    </w:p>
    <w:p w14:paraId="49B601DB" w14:textId="77777777" w:rsidR="00510D8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following SMART objectives define what success looks like for this initiative:</w:t>
      </w:r>
    </w:p>
    <w:p w14:paraId="6672179C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Reduce average resident service time from 47 minutes to under 10 minutes for eligible transactions</w:t>
      </w:r>
    </w:p>
    <w:p w14:paraId="42009F7A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Shift 60% of eligible renewals to digital channels within 24 months of launch</w:t>
      </w:r>
    </w:p>
    <w:p w14:paraId="2CF2E310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Reduce cost-per-transaction by 70% through channel migration (from $28.40 to under $8.50)</w:t>
      </w:r>
    </w:p>
    <w:p w14:paraId="7CFDAB2F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Achieve a resident satisfaction score of 80%+ (baseline: 54% — Ontario Government Digital Survey 2023)</w:t>
      </w:r>
    </w:p>
    <w:p w14:paraId="2A9D2A21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Ensure full AODA (Accessibility for Ontarians with Disabilities Act) compliance across all new digital touchpoints</w:t>
      </w:r>
    </w:p>
    <w:p w14:paraId="6A65F7CC" w14:textId="77777777" w:rsidR="00510D80" w:rsidRDefault="00510D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8715"/>
      </w:tblGrid>
      <w:tr w:rsidR="00510D80" w14:paraId="3111052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035B5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507A" w14:textId="77777777" w:rsidR="00510D80" w:rsidRDefault="00000000">
            <w:r>
              <w:rPr>
                <w:rFonts w:ascii="Arial" w:eastAsia="Arial" w:hAnsi="Arial" w:cs="Arial"/>
                <w:i/>
                <w:iCs/>
                <w:color w:val="5C3800"/>
              </w:rPr>
              <w:t>Every objective has a number. BAs never write 'improve service delivery' — that is unmeasurable and meaningless. SMART = Specific, Measurable, Achievable, Relevant, Time-bound. In interviews, interviewers will test whether you know this.</w:t>
            </w:r>
          </w:p>
        </w:tc>
      </w:tr>
    </w:tbl>
    <w:p w14:paraId="74FE8E4A" w14:textId="77777777" w:rsidR="00510D80" w:rsidRDefault="00510D80">
      <w:pPr>
        <w:spacing w:before="120"/>
      </w:pPr>
    </w:p>
    <w:p w14:paraId="64A59BC6" w14:textId="77777777" w:rsidR="00510D80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3. Project Scope</w:t>
      </w:r>
    </w:p>
    <w:p w14:paraId="4055F48A" w14:textId="77777777" w:rsidR="00510D8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scope boundary defines what this project will and will not address. Everything outside the 'In Scope' column requires a separate project or change request.</w:t>
      </w:r>
    </w:p>
    <w:p w14:paraId="3C932468" w14:textId="77777777" w:rsidR="00510D80" w:rsidRDefault="00510D8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10D80" w14:paraId="1C86FA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6E30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In Scope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216C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Out of Scope</w:t>
            </w:r>
          </w:p>
        </w:tc>
      </w:tr>
      <w:tr w:rsidR="00510D80" w14:paraId="5DCC64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76BB8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7500A"/>
              </w:rPr>
              <w:t>Health card renewal (OHIP)</w:t>
            </w:r>
          </w:p>
          <w:p w14:paraId="11CC20FA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7500A"/>
              </w:rPr>
              <w:t>Driver's licence renewal (non-commercial)</w:t>
            </w:r>
          </w:p>
          <w:p w14:paraId="5F19D3F6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7500A"/>
              </w:rPr>
              <w:t>Vehicle permit sticker renewal</w:t>
            </w:r>
          </w:p>
          <w:p w14:paraId="7CE57219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7500A"/>
              </w:rPr>
              <w:t>Online identity verification flow</w:t>
            </w:r>
          </w:p>
          <w:p w14:paraId="095716A2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7500A"/>
              </w:rPr>
              <w:t>Payment processing integration</w:t>
            </w:r>
          </w:p>
          <w:p w14:paraId="6D0BE78A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27500A"/>
              </w:rPr>
              <w:t>Accessibility (AODA) compliance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E9D27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791F1F"/>
              </w:rPr>
              <w:t>New health card issuance (first-time)</w:t>
            </w:r>
          </w:p>
          <w:p w14:paraId="379FE378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791F1F"/>
              </w:rPr>
              <w:t>Commercial driver's licence renewals</w:t>
            </w:r>
          </w:p>
          <w:p w14:paraId="0BE647A4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791F1F"/>
              </w:rPr>
              <w:t>Back-end legacy system replacement</w:t>
            </w:r>
          </w:p>
          <w:p w14:paraId="1C571847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791F1F"/>
              </w:rPr>
              <w:t>Physical ServiceOntario location redesign</w:t>
            </w:r>
          </w:p>
          <w:p w14:paraId="544B0A06" w14:textId="77777777" w:rsidR="00510D8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eastAsia="Arial" w:hAnsi="Arial" w:cs="Arial"/>
                <w:color w:val="791F1F"/>
              </w:rPr>
              <w:t>Other ministry services (e.g. birth certificates)</w:t>
            </w:r>
          </w:p>
        </w:tc>
      </w:tr>
    </w:tbl>
    <w:p w14:paraId="054386B5" w14:textId="77777777" w:rsidR="00510D80" w:rsidRDefault="00510D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8715"/>
      </w:tblGrid>
      <w:tr w:rsidR="00510D80" w14:paraId="1FFF786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381C2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A533" w14:textId="77777777" w:rsidR="00510D80" w:rsidRDefault="00000000">
            <w:r>
              <w:rPr>
                <w:rFonts w:ascii="Arial" w:eastAsia="Arial" w:hAnsi="Arial" w:cs="Arial"/>
                <w:i/>
                <w:iCs/>
                <w:color w:val="5C3800"/>
              </w:rPr>
              <w:t>Defining 'Out of Scope' is where BAs earn their salary. It prevents scope creep — the #1 reason IT projects fail. Every item listed as out of scope should be something a stakeholder might reasonably assume is included.</w:t>
            </w:r>
          </w:p>
        </w:tc>
      </w:tr>
    </w:tbl>
    <w:p w14:paraId="26BC0B2C" w14:textId="77777777" w:rsidR="00510D80" w:rsidRDefault="00510D80">
      <w:pPr>
        <w:spacing w:before="120"/>
      </w:pPr>
    </w:p>
    <w:p w14:paraId="17057074" w14:textId="77777777" w:rsidR="00510D80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lastRenderedPageBreak/>
        <w:t>4. Success Metrics (KPIs)</w:t>
      </w:r>
    </w:p>
    <w:p w14:paraId="46B7C0F9" w14:textId="77777777" w:rsidR="00510D80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following Key Performance Indicators will be used to evaluate project success at 6 and 12 months post-launch:</w:t>
      </w:r>
    </w:p>
    <w:p w14:paraId="1272D817" w14:textId="77777777" w:rsidR="00510D80" w:rsidRDefault="00510D8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10D80" w14:paraId="313DBC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20" w:type="dxa"/>
              <w:bottom w:w="80" w:type="dxa"/>
              <w:right w:w="120" w:type="dxa"/>
            </w:tcMar>
            <w:vAlign w:val="center"/>
          </w:tcPr>
          <w:p w14:paraId="5AD8B6B5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6E"/>
                <w:sz w:val="36"/>
                <w:szCs w:val="36"/>
              </w:rPr>
              <w:t>60%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20" w:type="dxa"/>
              <w:bottom w:w="80" w:type="dxa"/>
              <w:right w:w="120" w:type="dxa"/>
            </w:tcMar>
            <w:vAlign w:val="center"/>
          </w:tcPr>
          <w:p w14:paraId="46E61B1D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6E"/>
                <w:sz w:val="36"/>
                <w:szCs w:val="36"/>
              </w:rPr>
              <w:t>&lt;10 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20" w:type="dxa"/>
              <w:bottom w:w="80" w:type="dxa"/>
              <w:right w:w="120" w:type="dxa"/>
            </w:tcMar>
            <w:vAlign w:val="center"/>
          </w:tcPr>
          <w:p w14:paraId="04AB0DD1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C6E"/>
                <w:sz w:val="36"/>
                <w:szCs w:val="36"/>
              </w:rPr>
              <w:t>$18M+</w:t>
            </w:r>
          </w:p>
        </w:tc>
      </w:tr>
      <w:tr w:rsidR="00510D80" w14:paraId="063E1D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100" w:type="dxa"/>
              <w:right w:w="120" w:type="dxa"/>
            </w:tcMar>
          </w:tcPr>
          <w:p w14:paraId="28652B1A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transactions shifted to digital channel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100" w:type="dxa"/>
              <w:right w:w="120" w:type="dxa"/>
            </w:tcMar>
          </w:tcPr>
          <w:p w14:paraId="4C334422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target resident service 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100" w:type="dxa"/>
              <w:right w:w="120" w:type="dxa"/>
            </w:tcMar>
          </w:tcPr>
          <w:p w14:paraId="65C9B553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projected annual operational savings</w:t>
            </w:r>
          </w:p>
        </w:tc>
      </w:tr>
    </w:tbl>
    <w:p w14:paraId="17F8C443" w14:textId="77777777" w:rsidR="00510D80" w:rsidRDefault="00510D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8715"/>
      </w:tblGrid>
      <w:tr w:rsidR="00510D80" w14:paraId="3615977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E0B84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A43E" w14:textId="77777777" w:rsidR="00510D80" w:rsidRDefault="00000000">
            <w:r>
              <w:rPr>
                <w:rFonts w:ascii="Arial" w:eastAsia="Arial" w:hAnsi="Arial" w:cs="Arial"/>
                <w:i/>
                <w:iCs/>
                <w:color w:val="5C3800"/>
              </w:rPr>
              <w:t>KPIs are defined upfront so stakeholders cannot redefine success after the fact. These numbers are grounded in Ontario Digital Service benchmarks and Treasury Board guidelines for digital channel economics.</w:t>
            </w:r>
          </w:p>
        </w:tc>
      </w:tr>
    </w:tbl>
    <w:p w14:paraId="7560B23A" w14:textId="77777777" w:rsidR="00510D80" w:rsidRDefault="00510D80">
      <w:pPr>
        <w:spacing w:before="120"/>
      </w:pPr>
    </w:p>
    <w:p w14:paraId="19A260E5" w14:textId="77777777" w:rsidR="00510D80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5. Assumptions &amp; Constraints</w:t>
      </w:r>
    </w:p>
    <w:p w14:paraId="056BF48E" w14:textId="77777777" w:rsidR="00510D80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Assumptions</w:t>
      </w:r>
    </w:p>
    <w:p w14:paraId="1991AA61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Assumption: </w:t>
      </w:r>
      <w:r>
        <w:rPr>
          <w:rFonts w:ascii="Arial" w:eastAsia="Arial" w:hAnsi="Arial" w:cs="Arial"/>
          <w:sz w:val="22"/>
          <w:szCs w:val="22"/>
        </w:rPr>
        <w:t>Existing ServiceOntario identity verification infrastructure can be extended — not rebuilt — for digital channels</w:t>
      </w:r>
    </w:p>
    <w:p w14:paraId="044206F6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Assumption: </w:t>
      </w:r>
      <w:r>
        <w:rPr>
          <w:rFonts w:ascii="Arial" w:eastAsia="Arial" w:hAnsi="Arial" w:cs="Arial"/>
          <w:sz w:val="22"/>
          <w:szCs w:val="22"/>
        </w:rPr>
        <w:t>Provincial budget approval of $4–6M for digital portal development is obtainable within Q1 2027</w:t>
      </w:r>
    </w:p>
    <w:p w14:paraId="7411B5EC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Assumption: </w:t>
      </w:r>
      <w:r>
        <w:rPr>
          <w:rFonts w:ascii="Arial" w:eastAsia="Arial" w:hAnsi="Arial" w:cs="Arial"/>
          <w:sz w:val="22"/>
          <w:szCs w:val="22"/>
        </w:rPr>
        <w:t>Majority of eligible residents (est. 78%) have access to internet and a device capable of completing a digital renewal</w:t>
      </w:r>
    </w:p>
    <w:p w14:paraId="667D2587" w14:textId="77777777" w:rsidR="00510D80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1A3C6E"/>
          <w:sz w:val="24"/>
          <w:szCs w:val="24"/>
        </w:rPr>
        <w:t>Constraints</w:t>
      </w:r>
    </w:p>
    <w:p w14:paraId="6A15A38D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Constraint: </w:t>
      </w:r>
      <w:r>
        <w:rPr>
          <w:rFonts w:ascii="Arial" w:eastAsia="Arial" w:hAnsi="Arial" w:cs="Arial"/>
          <w:sz w:val="22"/>
          <w:szCs w:val="22"/>
        </w:rPr>
        <w:t>Must comply with Ontario's Digital Service Standard and the French Language Services Act (bilingual delivery required)</w:t>
      </w:r>
    </w:p>
    <w:p w14:paraId="5B304D8F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Constraint: </w:t>
      </w:r>
      <w:r>
        <w:rPr>
          <w:rFonts w:ascii="Arial" w:eastAsia="Arial" w:hAnsi="Arial" w:cs="Arial"/>
          <w:sz w:val="22"/>
          <w:szCs w:val="22"/>
        </w:rPr>
        <w:t>Legacy mainframe systems cannot be modified — integration must occur via an API wrapper layer</w:t>
      </w:r>
    </w:p>
    <w:p w14:paraId="671C5205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Constraint: </w:t>
      </w:r>
      <w:r>
        <w:rPr>
          <w:rFonts w:ascii="Arial" w:eastAsia="Arial" w:hAnsi="Arial" w:cs="Arial"/>
          <w:sz w:val="22"/>
          <w:szCs w:val="22"/>
        </w:rPr>
        <w:t>Project must reach pilot stage before next provincial budget review cycle</w:t>
      </w:r>
    </w:p>
    <w:p w14:paraId="4483794F" w14:textId="77777777" w:rsidR="00510D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Constraint: </w:t>
      </w:r>
      <w:r>
        <w:rPr>
          <w:rFonts w:ascii="Arial" w:eastAsia="Arial" w:hAnsi="Arial" w:cs="Arial"/>
          <w:sz w:val="22"/>
          <w:szCs w:val="22"/>
        </w:rPr>
        <w:t>All personal health data handling must comply with PHIPA (Personal Health Information Protection Act)</w:t>
      </w:r>
    </w:p>
    <w:p w14:paraId="02D1B055" w14:textId="77777777" w:rsidR="00510D80" w:rsidRDefault="00510D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8715"/>
      </w:tblGrid>
      <w:tr w:rsidR="00510D80" w14:paraId="71447B7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5E2F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F87D" w14:textId="77777777" w:rsidR="00510D80" w:rsidRDefault="00000000">
            <w:r>
              <w:rPr>
                <w:rFonts w:ascii="Arial" w:eastAsia="Arial" w:hAnsi="Arial" w:cs="Arial"/>
                <w:i/>
                <w:iCs/>
                <w:color w:val="5C3800"/>
              </w:rPr>
              <w:t>Assumptions are things you are treating as true without proof — if they are wrong, the project is at risk. Document them so you are protected. Constraints are hard limits you cannot change. This section is your professional safety net as a BA.</w:t>
            </w:r>
          </w:p>
        </w:tc>
      </w:tr>
    </w:tbl>
    <w:p w14:paraId="6B4297CB" w14:textId="77777777" w:rsidR="00510D80" w:rsidRDefault="00510D80">
      <w:pPr>
        <w:spacing w:before="120"/>
      </w:pPr>
    </w:p>
    <w:p w14:paraId="74C62CDF" w14:textId="77777777" w:rsidR="00510D80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6. High-Level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10D80" w14:paraId="564FB9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5707" w14:textId="77777777" w:rsidR="00510D8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96AA" w14:textId="77777777" w:rsidR="00510D8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Activity</w:t>
            </w:r>
          </w:p>
        </w:tc>
      </w:tr>
      <w:tr w:rsidR="00510D80" w14:paraId="2F329A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D5A3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Month 1–2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B5FE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Discovery: stakeholder interviews, as-is process mapping, pain point analysis</w:t>
            </w:r>
          </w:p>
        </w:tc>
      </w:tr>
      <w:tr w:rsidR="00510D80" w14:paraId="6A779E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C588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Month 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B997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Requirements: BRD development, user stories, MoSCoW prioritization</w:t>
            </w:r>
          </w:p>
        </w:tc>
      </w:tr>
      <w:tr w:rsidR="00510D80" w14:paraId="2A1DE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6E91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Month 4–5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6E59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Design &amp; Build: UX wireframes, API integration, UAT planning</w:t>
            </w:r>
          </w:p>
        </w:tc>
      </w:tr>
      <w:tr w:rsidR="00510D80" w14:paraId="49941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3BA0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Month 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5254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Pilot: soft launch with select postal codes, resident feedback loop</w:t>
            </w:r>
          </w:p>
        </w:tc>
      </w:tr>
      <w:tr w:rsidR="00510D80" w14:paraId="7F9DD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4765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Month 7–8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BBFD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Full Rollout: province-wide phased launch by service type</w:t>
            </w:r>
          </w:p>
        </w:tc>
      </w:tr>
    </w:tbl>
    <w:p w14:paraId="648DEB7E" w14:textId="77777777" w:rsidR="00510D80" w:rsidRDefault="00510D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8715"/>
      </w:tblGrid>
      <w:tr w:rsidR="00510D80" w14:paraId="3543B83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0221B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3DC6" w14:textId="77777777" w:rsidR="00510D80" w:rsidRDefault="00000000">
            <w:r>
              <w:rPr>
                <w:rFonts w:ascii="Arial" w:eastAsia="Arial" w:hAnsi="Arial" w:cs="Arial"/>
                <w:i/>
                <w:iCs/>
                <w:color w:val="5C3800"/>
              </w:rPr>
              <w:t>BAs own the discovery and requirements phases. A phased rollout (pilot first) shows mature thinking — you are not recommending a risky big-bang launch. Always tie timeline to business events like budget cycles.</w:t>
            </w:r>
          </w:p>
        </w:tc>
      </w:tr>
    </w:tbl>
    <w:p w14:paraId="01FEBCF3" w14:textId="77777777" w:rsidR="00510D80" w:rsidRDefault="00510D80">
      <w:pPr>
        <w:spacing w:before="120"/>
      </w:pPr>
    </w:p>
    <w:p w14:paraId="24A354C6" w14:textId="77777777" w:rsidR="00510D80" w:rsidRDefault="00000000">
      <w:pPr>
        <w:pBdr>
          <w:bottom w:val="single" w:sz="8" w:space="4" w:color="1A3C6E"/>
        </w:pBdr>
        <w:spacing w:before="320" w:after="160"/>
      </w:pPr>
      <w:r>
        <w:rPr>
          <w:rFonts w:ascii="Arial" w:eastAsia="Arial" w:hAnsi="Arial" w:cs="Arial"/>
          <w:b/>
          <w:bCs/>
          <w:color w:val="1A3C6E"/>
          <w:sz w:val="32"/>
          <w:szCs w:val="32"/>
        </w:rPr>
        <w:t>7. Project Team &amp; Governance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10D80" w14:paraId="560AD3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0700" w14:textId="77777777" w:rsidR="00510D8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5807" w14:textId="77777777" w:rsidR="00510D80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Name / Organization</w:t>
            </w:r>
          </w:p>
        </w:tc>
      </w:tr>
      <w:tr w:rsidR="00510D80" w14:paraId="172A47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B960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Project Sponsor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9920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Deputy Minister, Ministry of Public and Business Service Delivery</w:t>
            </w:r>
          </w:p>
        </w:tc>
      </w:tr>
      <w:tr w:rsidR="00510D80" w14:paraId="2AB604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62FE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Business 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8097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Director, ServiceOntario Operations</w:t>
            </w:r>
          </w:p>
        </w:tc>
      </w:tr>
      <w:tr w:rsidR="00510D80" w14:paraId="76744B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3FC9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Business Analyst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BEA3" w14:textId="75F0CA1D" w:rsidR="00510D80" w:rsidRDefault="0042584F">
            <w:r>
              <w:rPr>
                <w:rFonts w:ascii="Arial" w:eastAsia="Arial" w:hAnsi="Arial" w:cs="Arial"/>
                <w:color w:val="222222"/>
              </w:rPr>
              <w:t>Aishwarya Senthil</w:t>
            </w:r>
          </w:p>
        </w:tc>
      </w:tr>
      <w:tr w:rsidR="00510D80" w14:paraId="542617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473F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Ontario Digital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37E4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Digital delivery and platform standards</w:t>
            </w:r>
          </w:p>
        </w:tc>
      </w:tr>
      <w:tr w:rsidR="00510D80" w14:paraId="77808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8C0E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OHIP Program Branch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D4B2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Health card business rules and eligibility</w:t>
            </w:r>
          </w:p>
        </w:tc>
      </w:tr>
      <w:tr w:rsidR="00510D80" w14:paraId="4DA92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D78A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Ministry of Transportation (MTO)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98DFD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Driver's licence and vehicle permit rules</w:t>
            </w:r>
          </w:p>
        </w:tc>
      </w:tr>
      <w:tr w:rsidR="00510D80" w14:paraId="2D55CF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8624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Privacy Commissioner Liaison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F96F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PHIPA and data governance oversight</w:t>
            </w:r>
          </w:p>
        </w:tc>
      </w:tr>
      <w:tr w:rsidR="00510D80" w14:paraId="58C7DE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E3DF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AODA Accessibility Advisor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B0D7" w14:textId="77777777" w:rsidR="00510D80" w:rsidRDefault="00000000">
            <w:r>
              <w:rPr>
                <w:rFonts w:ascii="Arial" w:eastAsia="Arial" w:hAnsi="Arial" w:cs="Arial"/>
                <w:color w:val="222222"/>
              </w:rPr>
              <w:t>Accessibility compliance and user testing</w:t>
            </w:r>
          </w:p>
        </w:tc>
      </w:tr>
    </w:tbl>
    <w:p w14:paraId="06BE2F1D" w14:textId="77777777" w:rsidR="00510D80" w:rsidRDefault="00510D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8715"/>
      </w:tblGrid>
      <w:tr w:rsidR="00510D80" w14:paraId="5D9C8A9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9F2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2290D" w14:textId="77777777" w:rsidR="00510D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BA NOTE</w:t>
            </w:r>
          </w:p>
        </w:tc>
        <w:tc>
          <w:tcPr>
            <w:tcW w:w="9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B66F" w14:textId="77777777" w:rsidR="00510D80" w:rsidRDefault="00000000">
            <w:r>
              <w:rPr>
                <w:rFonts w:ascii="Arial" w:eastAsia="Arial" w:hAnsi="Arial" w:cs="Arial"/>
                <w:i/>
                <w:iCs/>
                <w:color w:val="5C3800"/>
              </w:rPr>
              <w:t>Naming real Ontario ministry structures makes this portfolio look authentic. These are real government entities. The sponsor has budget authority. The business owner is accountable for outcomes post-launch. Knowing this distinction matters in BA interviews.</w:t>
            </w:r>
          </w:p>
        </w:tc>
      </w:tr>
    </w:tbl>
    <w:p w14:paraId="597D29D4" w14:textId="77777777" w:rsidR="00510D80" w:rsidRDefault="00510D80">
      <w:pPr>
        <w:spacing w:before="200"/>
      </w:pPr>
    </w:p>
    <w:p w14:paraId="31BA9098" w14:textId="77777777" w:rsidR="00510D80" w:rsidRDefault="00000000">
      <w:pPr>
        <w:pBdr>
          <w:top w:val="single" w:sz="4" w:space="4" w:color="CCCCCC"/>
        </w:pBdr>
        <w:jc w:val="center"/>
      </w:pPr>
      <w:r>
        <w:rPr>
          <w:rFonts w:ascii="Arial" w:eastAsia="Arial" w:hAnsi="Arial" w:cs="Arial"/>
          <w:i/>
          <w:iCs/>
          <w:color w:val="999999"/>
          <w:sz w:val="18"/>
          <w:szCs w:val="18"/>
        </w:rPr>
        <w:t>ServiceOntario Digital Transformation  ·  Project Charter v1.0  ·  BA Portfolio Project — Phase 1 of 5</w:t>
      </w:r>
    </w:p>
    <w:sectPr w:rsidR="00510D80" w:rsidSect="0042584F">
      <w:pgSz w:w="12240" w:h="15840"/>
      <w:pgMar w:top="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61A"/>
    <w:multiLevelType w:val="hybridMultilevel"/>
    <w:tmpl w:val="091A6844"/>
    <w:lvl w:ilvl="0" w:tplc="82C6775C">
      <w:start w:val="1"/>
      <w:numFmt w:val="bullet"/>
      <w:lvlText w:val="•"/>
      <w:lvlJc w:val="left"/>
      <w:pPr>
        <w:ind w:left="480" w:hanging="280"/>
      </w:pPr>
    </w:lvl>
    <w:lvl w:ilvl="1" w:tplc="824E4F72">
      <w:numFmt w:val="decimal"/>
      <w:lvlText w:val=""/>
      <w:lvlJc w:val="left"/>
    </w:lvl>
    <w:lvl w:ilvl="2" w:tplc="5D4A35FA">
      <w:numFmt w:val="decimal"/>
      <w:lvlText w:val=""/>
      <w:lvlJc w:val="left"/>
    </w:lvl>
    <w:lvl w:ilvl="3" w:tplc="2514C6AE">
      <w:numFmt w:val="decimal"/>
      <w:lvlText w:val=""/>
      <w:lvlJc w:val="left"/>
    </w:lvl>
    <w:lvl w:ilvl="4" w:tplc="82CC4AF2">
      <w:numFmt w:val="decimal"/>
      <w:lvlText w:val=""/>
      <w:lvlJc w:val="left"/>
    </w:lvl>
    <w:lvl w:ilvl="5" w:tplc="983A5816">
      <w:numFmt w:val="decimal"/>
      <w:lvlText w:val=""/>
      <w:lvlJc w:val="left"/>
    </w:lvl>
    <w:lvl w:ilvl="6" w:tplc="D70A157A">
      <w:numFmt w:val="decimal"/>
      <w:lvlText w:val=""/>
      <w:lvlJc w:val="left"/>
    </w:lvl>
    <w:lvl w:ilvl="7" w:tplc="5AE2258A">
      <w:numFmt w:val="decimal"/>
      <w:lvlText w:val=""/>
      <w:lvlJc w:val="left"/>
    </w:lvl>
    <w:lvl w:ilvl="8" w:tplc="754A035E">
      <w:numFmt w:val="decimal"/>
      <w:lvlText w:val=""/>
      <w:lvlJc w:val="left"/>
    </w:lvl>
  </w:abstractNum>
  <w:abstractNum w:abstractNumId="1" w15:restartNumberingAfterBreak="0">
    <w:nsid w:val="20E65CBF"/>
    <w:multiLevelType w:val="hybridMultilevel"/>
    <w:tmpl w:val="72B06880"/>
    <w:lvl w:ilvl="0" w:tplc="8042CF96">
      <w:start w:val="1"/>
      <w:numFmt w:val="bullet"/>
      <w:lvlText w:val="●"/>
      <w:lvlJc w:val="left"/>
      <w:pPr>
        <w:ind w:left="720" w:hanging="360"/>
      </w:pPr>
    </w:lvl>
    <w:lvl w:ilvl="1" w:tplc="4956E9AE">
      <w:start w:val="1"/>
      <w:numFmt w:val="bullet"/>
      <w:lvlText w:val="○"/>
      <w:lvlJc w:val="left"/>
      <w:pPr>
        <w:ind w:left="1440" w:hanging="360"/>
      </w:pPr>
    </w:lvl>
    <w:lvl w:ilvl="2" w:tplc="80887B4A">
      <w:start w:val="1"/>
      <w:numFmt w:val="bullet"/>
      <w:lvlText w:val="■"/>
      <w:lvlJc w:val="left"/>
      <w:pPr>
        <w:ind w:left="2160" w:hanging="360"/>
      </w:pPr>
    </w:lvl>
    <w:lvl w:ilvl="3" w:tplc="49D615AC">
      <w:start w:val="1"/>
      <w:numFmt w:val="bullet"/>
      <w:lvlText w:val="●"/>
      <w:lvlJc w:val="left"/>
      <w:pPr>
        <w:ind w:left="2880" w:hanging="360"/>
      </w:pPr>
    </w:lvl>
    <w:lvl w:ilvl="4" w:tplc="C840CF76">
      <w:start w:val="1"/>
      <w:numFmt w:val="bullet"/>
      <w:lvlText w:val="○"/>
      <w:lvlJc w:val="left"/>
      <w:pPr>
        <w:ind w:left="3600" w:hanging="360"/>
      </w:pPr>
    </w:lvl>
    <w:lvl w:ilvl="5" w:tplc="A2145292">
      <w:start w:val="1"/>
      <w:numFmt w:val="bullet"/>
      <w:lvlText w:val="■"/>
      <w:lvlJc w:val="left"/>
      <w:pPr>
        <w:ind w:left="4320" w:hanging="360"/>
      </w:pPr>
    </w:lvl>
    <w:lvl w:ilvl="6" w:tplc="0DB4033E">
      <w:start w:val="1"/>
      <w:numFmt w:val="bullet"/>
      <w:lvlText w:val="●"/>
      <w:lvlJc w:val="left"/>
      <w:pPr>
        <w:ind w:left="5040" w:hanging="360"/>
      </w:pPr>
    </w:lvl>
    <w:lvl w:ilvl="7" w:tplc="AF500164">
      <w:start w:val="1"/>
      <w:numFmt w:val="bullet"/>
      <w:lvlText w:val="●"/>
      <w:lvlJc w:val="left"/>
      <w:pPr>
        <w:ind w:left="5760" w:hanging="360"/>
      </w:pPr>
    </w:lvl>
    <w:lvl w:ilvl="8" w:tplc="9DD44280">
      <w:start w:val="1"/>
      <w:numFmt w:val="bullet"/>
      <w:lvlText w:val="●"/>
      <w:lvlJc w:val="left"/>
      <w:pPr>
        <w:ind w:left="6480" w:hanging="360"/>
      </w:pPr>
    </w:lvl>
  </w:abstractNum>
  <w:num w:numId="1" w16cid:durableId="2120830342">
    <w:abstractNumId w:val="1"/>
    <w:lvlOverride w:ilvl="0">
      <w:startOverride w:val="1"/>
    </w:lvlOverride>
  </w:num>
  <w:num w:numId="2" w16cid:durableId="25067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D80"/>
    <w:rsid w:val="00190358"/>
    <w:rsid w:val="0042584F"/>
    <w:rsid w:val="0051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165F"/>
  <w15:docId w15:val="{68D72CF6-B0B4-4541-8246-E696D563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Aishwarya Senthil</cp:lastModifiedBy>
  <cp:revision>2</cp:revision>
  <dcterms:created xsi:type="dcterms:W3CDTF">2026-06-02T02:40:00Z</dcterms:created>
  <dcterms:modified xsi:type="dcterms:W3CDTF">2026-06-08T19:03:00Z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199e8c4d-27ba-4045-8860-2846788b26f6</vt:lpwstr>
  </property>
</Properties>
</file>