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4F111" w14:textId="77777777" w:rsidR="009248D3" w:rsidRDefault="009248D3">
      <w:pPr>
        <w:spacing w:before="800"/>
      </w:pPr>
    </w:p>
    <w:p w14:paraId="4520F8C9" w14:textId="77777777" w:rsidR="009248D3" w:rsidRDefault="00000000">
      <w:pPr>
        <w:jc w:val="center"/>
      </w:pPr>
      <w:r>
        <w:rPr>
          <w:rFonts w:ascii="Arial" w:eastAsia="Arial" w:hAnsi="Arial" w:cs="Arial"/>
          <w:b/>
          <w:bCs/>
          <w:color w:val="1A3C6E"/>
          <w:sz w:val="52"/>
          <w:szCs w:val="52"/>
        </w:rPr>
        <w:t>PROCESS MAPS &amp; GAP ANALYSIS</w:t>
      </w:r>
    </w:p>
    <w:p w14:paraId="1CF5082B" w14:textId="77777777" w:rsidR="009248D3" w:rsidRDefault="009248D3">
      <w:pPr>
        <w:spacing w:before="80"/>
      </w:pPr>
    </w:p>
    <w:p w14:paraId="7F472898" w14:textId="77777777" w:rsidR="009248D3" w:rsidRDefault="00000000">
      <w:pPr>
        <w:jc w:val="center"/>
      </w:pPr>
      <w:r>
        <w:rPr>
          <w:rFonts w:ascii="Arial" w:eastAsia="Arial" w:hAnsi="Arial" w:cs="Arial"/>
          <w:color w:val="444444"/>
          <w:sz w:val="30"/>
          <w:szCs w:val="30"/>
        </w:rPr>
        <w:t>ServiceOntario Digital Transformation Initiative</w:t>
      </w:r>
    </w:p>
    <w:p w14:paraId="67ED3A4A" w14:textId="77777777" w:rsidR="009248D3" w:rsidRDefault="009248D3">
      <w:pPr>
        <w:spacing w:before="60"/>
      </w:pPr>
    </w:p>
    <w:p w14:paraId="12E21874" w14:textId="36F9708C" w:rsidR="009248D3" w:rsidRDefault="00000000">
      <w:pPr>
        <w:spacing w:before="60" w:after="60"/>
        <w:jc w:val="center"/>
      </w:pPr>
      <w:r>
        <w:rPr>
          <w:rFonts w:ascii="Arial" w:eastAsia="Arial" w:hAnsi="Arial" w:cs="Arial"/>
          <w:b/>
          <w:bCs/>
          <w:color w:val="555555"/>
          <w:sz w:val="22"/>
          <w:szCs w:val="22"/>
        </w:rPr>
        <w:t xml:space="preserve">Prepared by:  </w:t>
      </w:r>
      <w:r w:rsidR="005B497F" w:rsidRPr="005B497F">
        <w:rPr>
          <w:rFonts w:ascii="Arial" w:eastAsia="Arial" w:hAnsi="Arial" w:cs="Arial"/>
          <w:color w:val="222222"/>
          <w:sz w:val="22"/>
          <w:szCs w:val="22"/>
        </w:rPr>
        <w:t xml:space="preserve">Aishwarya Senthil </w:t>
      </w:r>
      <w:r>
        <w:rPr>
          <w:rFonts w:ascii="Arial" w:eastAsia="Arial" w:hAnsi="Arial" w:cs="Arial"/>
          <w:color w:val="222222"/>
          <w:sz w:val="22"/>
          <w:szCs w:val="22"/>
        </w:rPr>
        <w:t>— Business Analyst</w:t>
      </w:r>
    </w:p>
    <w:p w14:paraId="06D0DF61" w14:textId="77777777" w:rsidR="009248D3" w:rsidRDefault="00000000">
      <w:pPr>
        <w:spacing w:before="60" w:after="60"/>
        <w:jc w:val="center"/>
      </w:pPr>
      <w:r>
        <w:rPr>
          <w:rFonts w:ascii="Arial" w:eastAsia="Arial" w:hAnsi="Arial" w:cs="Arial"/>
          <w:b/>
          <w:bCs/>
          <w:color w:val="555555"/>
          <w:sz w:val="22"/>
          <w:szCs w:val="22"/>
        </w:rPr>
        <w:t xml:space="preserve">Version:  </w:t>
      </w:r>
      <w:r>
        <w:rPr>
          <w:rFonts w:ascii="Arial" w:eastAsia="Arial" w:hAnsi="Arial" w:cs="Arial"/>
          <w:color w:val="222222"/>
          <w:sz w:val="22"/>
          <w:szCs w:val="22"/>
        </w:rPr>
        <w:t>1.0</w:t>
      </w:r>
    </w:p>
    <w:p w14:paraId="1616396C" w14:textId="77777777" w:rsidR="009248D3" w:rsidRDefault="00000000">
      <w:pPr>
        <w:spacing w:before="60" w:after="60"/>
        <w:jc w:val="center"/>
      </w:pPr>
      <w:r>
        <w:rPr>
          <w:rFonts w:ascii="Arial" w:eastAsia="Arial" w:hAnsi="Arial" w:cs="Arial"/>
          <w:b/>
          <w:bCs/>
          <w:color w:val="555555"/>
          <w:sz w:val="22"/>
          <w:szCs w:val="22"/>
        </w:rPr>
        <w:t xml:space="preserve">Date:  </w:t>
      </w:r>
      <w:r>
        <w:rPr>
          <w:rFonts w:ascii="Arial" w:eastAsia="Arial" w:hAnsi="Arial" w:cs="Arial"/>
          <w:color w:val="222222"/>
          <w:sz w:val="22"/>
          <w:szCs w:val="22"/>
        </w:rPr>
        <w:t>June 2026</w:t>
      </w:r>
    </w:p>
    <w:p w14:paraId="6DA5AC03" w14:textId="77777777" w:rsidR="009248D3" w:rsidRDefault="00000000">
      <w:pPr>
        <w:spacing w:before="60" w:after="60"/>
        <w:jc w:val="center"/>
      </w:pPr>
      <w:r>
        <w:rPr>
          <w:rFonts w:ascii="Arial" w:eastAsia="Arial" w:hAnsi="Arial" w:cs="Arial"/>
          <w:b/>
          <w:bCs/>
          <w:color w:val="555555"/>
          <w:sz w:val="22"/>
          <w:szCs w:val="22"/>
        </w:rPr>
        <w:t xml:space="preserve">Phase:  </w:t>
      </w:r>
      <w:r>
        <w:rPr>
          <w:rFonts w:ascii="Arial" w:eastAsia="Arial" w:hAnsi="Arial" w:cs="Arial"/>
          <w:color w:val="222222"/>
          <w:sz w:val="22"/>
          <w:szCs w:val="22"/>
        </w:rPr>
        <w:t>3 of 5 — Process Mapping &amp; Gap Analysis</w:t>
      </w:r>
    </w:p>
    <w:p w14:paraId="07C4EFBF" w14:textId="77777777" w:rsidR="009248D3" w:rsidRDefault="00000000">
      <w:pPr>
        <w:spacing w:before="60" w:after="60"/>
        <w:jc w:val="center"/>
      </w:pPr>
      <w:r>
        <w:rPr>
          <w:rFonts w:ascii="Arial" w:eastAsia="Arial" w:hAnsi="Arial" w:cs="Arial"/>
          <w:b/>
          <w:bCs/>
          <w:color w:val="555555"/>
          <w:sz w:val="22"/>
          <w:szCs w:val="22"/>
        </w:rPr>
        <w:t xml:space="preserve">Builds on:  </w:t>
      </w:r>
      <w:r>
        <w:rPr>
          <w:rFonts w:ascii="Arial" w:eastAsia="Arial" w:hAnsi="Arial" w:cs="Arial"/>
          <w:color w:val="222222"/>
          <w:sz w:val="22"/>
          <w:szCs w:val="22"/>
        </w:rPr>
        <w:t>Phase 1 (Charter) · Phase 2 (Stakeholder Analysis)</w:t>
      </w:r>
    </w:p>
    <w:p w14:paraId="292E2138" w14:textId="77777777" w:rsidR="009248D3" w:rsidRDefault="009248D3">
      <w:pPr>
        <w:spacing w:before="400"/>
      </w:pPr>
    </w:p>
    <w:p w14:paraId="69BD28F9" w14:textId="77777777" w:rsidR="009248D3" w:rsidRDefault="00000000">
      <w:pPr>
        <w:jc w:val="center"/>
      </w:pPr>
      <w:r>
        <w:rPr>
          <w:rFonts w:ascii="Arial" w:eastAsia="Arial" w:hAnsi="Arial" w:cs="Arial"/>
          <w:i/>
          <w:iCs/>
          <w:color w:val="999999"/>
          <w:sz w:val="18"/>
          <w:szCs w:val="18"/>
        </w:rPr>
        <w:t>BA Portfolio Project  ·  Phase 3 of 5</w:t>
      </w:r>
    </w:p>
    <w:p w14:paraId="18D9CB2D" w14:textId="77777777" w:rsidR="009248D3" w:rsidRDefault="00000000">
      <w:r>
        <w:br w:type="page"/>
      </w:r>
    </w:p>
    <w:p w14:paraId="76543458" w14:textId="77777777" w:rsidR="009248D3" w:rsidRDefault="00000000">
      <w:pPr>
        <w:pBdr>
          <w:bottom w:val="single" w:sz="8" w:space="4" w:color="1A3C6E"/>
        </w:pBdr>
        <w:spacing w:before="320" w:after="160"/>
      </w:pPr>
      <w:r>
        <w:rPr>
          <w:rFonts w:ascii="Arial" w:eastAsia="Arial" w:hAnsi="Arial" w:cs="Arial"/>
          <w:b/>
          <w:bCs/>
          <w:color w:val="1A3C6E"/>
          <w:sz w:val="32"/>
          <w:szCs w:val="32"/>
        </w:rPr>
        <w:lastRenderedPageBreak/>
        <w:t>1. What is Process Mapping?</w:t>
      </w:r>
    </w:p>
    <w:p w14:paraId="1768FA40" w14:textId="77777777" w:rsidR="009248D3" w:rsidRDefault="00000000">
      <w:pPr>
        <w:spacing w:before="60" w:after="60"/>
      </w:pPr>
      <w:r>
        <w:rPr>
          <w:rFonts w:ascii="Arial" w:eastAsia="Arial" w:hAnsi="Arial" w:cs="Arial"/>
          <w:sz w:val="22"/>
          <w:szCs w:val="22"/>
        </w:rPr>
        <w:t>Process mapping is a BA technique for visualising how work actually flows through an organisation — who does what, in what order, and where things go wrong. A BA creates two versions: the As-Is map (current state, warts and all) and the To-Be map (the optimised future state). The gap between them becomes the project's work.</w:t>
      </w:r>
    </w:p>
    <w:p w14:paraId="31551A7B" w14:textId="77777777" w:rsidR="009248D3" w:rsidRDefault="00000000">
      <w:pPr>
        <w:spacing w:before="60" w:after="60"/>
      </w:pPr>
      <w:r>
        <w:rPr>
          <w:rFonts w:ascii="Arial" w:eastAsia="Arial" w:hAnsi="Arial" w:cs="Arial"/>
          <w:sz w:val="22"/>
          <w:szCs w:val="22"/>
        </w:rPr>
        <w:t>The As-Is map is built from interviews with front-line staff and subject matter experts — the people who live the process every day. The To-Be map is built collaboratively with stakeholders based on business objectives defined in the Project Charter (Phase 1).</w:t>
      </w:r>
    </w:p>
    <w:p w14:paraId="28E5A120" w14:textId="77777777" w:rsidR="009248D3" w:rsidRDefault="009248D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8755"/>
      </w:tblGrid>
      <w:tr w:rsidR="009248D3" w14:paraId="42C65B7B" w14:textId="77777777">
        <w:tblPrEx>
          <w:tblCellMar>
            <w:top w:w="0" w:type="dxa"/>
            <w:bottom w:w="0" w:type="dxa"/>
          </w:tblCellMar>
        </w:tblPrEx>
        <w:tc>
          <w:tcPr>
            <w:tcW w:w="220" w:type="dxa"/>
            <w:tcBorders>
              <w:top w:val="single" w:sz="1" w:space="0" w:color="CCCCCC"/>
              <w:left w:val="single" w:sz="1" w:space="0" w:color="CCCCCC"/>
              <w:bottom w:val="single" w:sz="1" w:space="0" w:color="CCCCCC"/>
              <w:right w:val="single" w:sz="1" w:space="0" w:color="CCCCCC"/>
            </w:tcBorders>
            <w:shd w:val="clear" w:color="auto" w:fill="EF9F27"/>
            <w:tcMar>
              <w:top w:w="80" w:type="dxa"/>
              <w:left w:w="80" w:type="dxa"/>
              <w:bottom w:w="80" w:type="dxa"/>
              <w:right w:w="80" w:type="dxa"/>
            </w:tcMar>
            <w:vAlign w:val="center"/>
          </w:tcPr>
          <w:p w14:paraId="0C630432" w14:textId="77777777" w:rsidR="009248D3" w:rsidRDefault="00000000">
            <w:pPr>
              <w:jc w:val="center"/>
            </w:pPr>
            <w:r>
              <w:rPr>
                <w:rFonts w:ascii="Arial" w:eastAsia="Arial" w:hAnsi="Arial" w:cs="Arial"/>
                <w:b/>
                <w:bCs/>
                <w:color w:val="FFFFFF"/>
                <w:sz w:val="16"/>
                <w:szCs w:val="16"/>
              </w:rPr>
              <w:t>BA NOTE</w:t>
            </w:r>
          </w:p>
        </w:tc>
        <w:tc>
          <w:tcPr>
            <w:tcW w:w="9140" w:type="dxa"/>
            <w:tcBorders>
              <w:top w:val="single" w:sz="1" w:space="0" w:color="CCCCCC"/>
              <w:left w:val="single" w:sz="1" w:space="0" w:color="CCCCCC"/>
              <w:bottom w:val="single" w:sz="1" w:space="0" w:color="CCCCCC"/>
              <w:right w:val="single" w:sz="1" w:space="0" w:color="CCCCCC"/>
            </w:tcBorders>
            <w:shd w:val="clear" w:color="auto" w:fill="FEF3DC"/>
            <w:tcMar>
              <w:top w:w="80" w:type="dxa"/>
              <w:left w:w="120" w:type="dxa"/>
              <w:bottom w:w="80" w:type="dxa"/>
              <w:right w:w="120" w:type="dxa"/>
            </w:tcMar>
          </w:tcPr>
          <w:p w14:paraId="4DA4B526" w14:textId="77777777" w:rsidR="009248D3" w:rsidRDefault="00000000">
            <w:r>
              <w:rPr>
                <w:rFonts w:ascii="Arial" w:eastAsia="Arial" w:hAnsi="Arial" w:cs="Arial"/>
                <w:i/>
                <w:iCs/>
                <w:color w:val="633806"/>
              </w:rPr>
              <w:t>Process mapping is one of the most interview-tested BA skills. If someone asks 'walk me through how you approach process improvement,' this is your answer. As-Is → pain points → To-Be → gap → requirements. That flow is the BA's core methodology.</w:t>
            </w:r>
          </w:p>
        </w:tc>
      </w:tr>
    </w:tbl>
    <w:p w14:paraId="4EB04E02" w14:textId="77777777" w:rsidR="009248D3" w:rsidRDefault="009248D3">
      <w:pPr>
        <w:spacing w:before="120"/>
      </w:pPr>
    </w:p>
    <w:p w14:paraId="5CAD71C6" w14:textId="77777777" w:rsidR="009248D3" w:rsidRDefault="00000000">
      <w:pPr>
        <w:pBdr>
          <w:bottom w:val="single" w:sz="8" w:space="4" w:color="1A3C6E"/>
        </w:pBdr>
        <w:spacing w:before="320" w:after="160"/>
      </w:pPr>
      <w:r>
        <w:rPr>
          <w:rFonts w:ascii="Arial" w:eastAsia="Arial" w:hAnsi="Arial" w:cs="Arial"/>
          <w:b/>
          <w:bCs/>
          <w:color w:val="1A3C6E"/>
          <w:sz w:val="32"/>
          <w:szCs w:val="32"/>
        </w:rPr>
        <w:t>2. As-Is Process Map — Current State</w:t>
      </w:r>
    </w:p>
    <w:p w14:paraId="04F2AAF9" w14:textId="77777777" w:rsidR="009248D3" w:rsidRDefault="00000000">
      <w:pPr>
        <w:spacing w:before="60" w:after="60"/>
      </w:pPr>
      <w:r>
        <w:rPr>
          <w:rFonts w:ascii="Arial" w:eastAsia="Arial" w:hAnsi="Arial" w:cs="Arial"/>
          <w:sz w:val="22"/>
          <w:szCs w:val="22"/>
        </w:rPr>
        <w:t>The following map shows how a health card or driver's licence renewal currently flows through ServiceOntario. Each step is followed by the pain point it creates. These pain points were identified through simulated stakeholder interviews with front-line staff (Phase 2).</w:t>
      </w:r>
    </w:p>
    <w:p w14:paraId="6C95D777" w14:textId="77777777" w:rsidR="009248D3" w:rsidRDefault="009248D3">
      <w:pPr>
        <w:spacing w:before="60"/>
      </w:pPr>
    </w:p>
    <w:p w14:paraId="4B77D53C" w14:textId="77777777" w:rsidR="009248D3" w:rsidRDefault="00000000">
      <w:pPr>
        <w:spacing w:before="240" w:after="100"/>
      </w:pPr>
      <w:r>
        <w:rPr>
          <w:rFonts w:ascii="Arial" w:eastAsia="Arial" w:hAnsi="Arial" w:cs="Arial"/>
          <w:b/>
          <w:bCs/>
          <w:color w:val="1A3C6E"/>
          <w:sz w:val="24"/>
          <w:szCs w:val="24"/>
        </w:rPr>
        <w:t>Current State: Health Card / Licence Renewal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4"/>
        <w:gridCol w:w="1162"/>
        <w:gridCol w:w="1630"/>
        <w:gridCol w:w="1357"/>
        <w:gridCol w:w="1345"/>
        <w:gridCol w:w="1311"/>
        <w:gridCol w:w="1371"/>
      </w:tblGrid>
      <w:tr w:rsidR="009248D3" w14:paraId="1333C9A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8B1A1A"/>
            <w:tcMar>
              <w:top w:w="60" w:type="dxa"/>
              <w:left w:w="80" w:type="dxa"/>
              <w:bottom w:w="60" w:type="dxa"/>
              <w:right w:w="80" w:type="dxa"/>
            </w:tcMar>
          </w:tcPr>
          <w:p w14:paraId="4F3C32F1" w14:textId="77777777" w:rsidR="009248D3" w:rsidRDefault="00000000">
            <w:pPr>
              <w:jc w:val="center"/>
            </w:pPr>
            <w:r>
              <w:rPr>
                <w:rFonts w:ascii="Arial" w:eastAsia="Arial" w:hAnsi="Arial" w:cs="Arial"/>
                <w:b/>
                <w:bCs/>
                <w:color w:val="FFFFFF"/>
                <w:sz w:val="18"/>
                <w:szCs w:val="18"/>
              </w:rPr>
              <w:t>Step 1</w:t>
            </w:r>
          </w:p>
        </w:tc>
        <w:tc>
          <w:tcPr>
            <w:tcW w:w="0" w:type="auto"/>
            <w:tcBorders>
              <w:top w:val="single" w:sz="1" w:space="0" w:color="CCCCCC"/>
              <w:left w:val="single" w:sz="1" w:space="0" w:color="CCCCCC"/>
              <w:bottom w:val="single" w:sz="1" w:space="0" w:color="CCCCCC"/>
              <w:right w:val="single" w:sz="1" w:space="0" w:color="CCCCCC"/>
            </w:tcBorders>
            <w:shd w:val="clear" w:color="auto" w:fill="8B1A1A"/>
            <w:tcMar>
              <w:top w:w="60" w:type="dxa"/>
              <w:left w:w="80" w:type="dxa"/>
              <w:bottom w:w="60" w:type="dxa"/>
              <w:right w:w="80" w:type="dxa"/>
            </w:tcMar>
          </w:tcPr>
          <w:p w14:paraId="537B20B7" w14:textId="77777777" w:rsidR="009248D3" w:rsidRDefault="00000000">
            <w:pPr>
              <w:jc w:val="center"/>
            </w:pPr>
            <w:r>
              <w:rPr>
                <w:rFonts w:ascii="Arial" w:eastAsia="Arial" w:hAnsi="Arial" w:cs="Arial"/>
                <w:b/>
                <w:bCs/>
                <w:color w:val="FFFFFF"/>
                <w:sz w:val="18"/>
                <w:szCs w:val="18"/>
              </w:rPr>
              <w:t>Step 2</w:t>
            </w:r>
          </w:p>
        </w:tc>
        <w:tc>
          <w:tcPr>
            <w:tcW w:w="0" w:type="auto"/>
            <w:tcBorders>
              <w:top w:val="single" w:sz="1" w:space="0" w:color="CCCCCC"/>
              <w:left w:val="single" w:sz="1" w:space="0" w:color="CCCCCC"/>
              <w:bottom w:val="single" w:sz="1" w:space="0" w:color="CCCCCC"/>
              <w:right w:val="single" w:sz="1" w:space="0" w:color="CCCCCC"/>
            </w:tcBorders>
            <w:shd w:val="clear" w:color="auto" w:fill="8B1A1A"/>
            <w:tcMar>
              <w:top w:w="60" w:type="dxa"/>
              <w:left w:w="80" w:type="dxa"/>
              <w:bottom w:w="60" w:type="dxa"/>
              <w:right w:w="80" w:type="dxa"/>
            </w:tcMar>
          </w:tcPr>
          <w:p w14:paraId="35A2EC2A" w14:textId="77777777" w:rsidR="009248D3" w:rsidRDefault="00000000">
            <w:pPr>
              <w:jc w:val="center"/>
            </w:pPr>
            <w:r>
              <w:rPr>
                <w:rFonts w:ascii="Arial" w:eastAsia="Arial" w:hAnsi="Arial" w:cs="Arial"/>
                <w:b/>
                <w:bCs/>
                <w:color w:val="FFFFFF"/>
                <w:sz w:val="18"/>
                <w:szCs w:val="18"/>
              </w:rPr>
              <w:t>Step 3</w:t>
            </w:r>
          </w:p>
        </w:tc>
        <w:tc>
          <w:tcPr>
            <w:tcW w:w="0" w:type="auto"/>
            <w:tcBorders>
              <w:top w:val="single" w:sz="1" w:space="0" w:color="CCCCCC"/>
              <w:left w:val="single" w:sz="1" w:space="0" w:color="CCCCCC"/>
              <w:bottom w:val="single" w:sz="1" w:space="0" w:color="CCCCCC"/>
              <w:right w:val="single" w:sz="1" w:space="0" w:color="CCCCCC"/>
            </w:tcBorders>
            <w:shd w:val="clear" w:color="auto" w:fill="8B1A1A"/>
            <w:tcMar>
              <w:top w:w="60" w:type="dxa"/>
              <w:left w:w="80" w:type="dxa"/>
              <w:bottom w:w="60" w:type="dxa"/>
              <w:right w:w="80" w:type="dxa"/>
            </w:tcMar>
          </w:tcPr>
          <w:p w14:paraId="464ADF60" w14:textId="77777777" w:rsidR="009248D3" w:rsidRDefault="00000000">
            <w:pPr>
              <w:jc w:val="center"/>
            </w:pPr>
            <w:r>
              <w:rPr>
                <w:rFonts w:ascii="Arial" w:eastAsia="Arial" w:hAnsi="Arial" w:cs="Arial"/>
                <w:b/>
                <w:bCs/>
                <w:color w:val="FFFFFF"/>
                <w:sz w:val="18"/>
                <w:szCs w:val="18"/>
              </w:rPr>
              <w:t>Step 4</w:t>
            </w:r>
          </w:p>
        </w:tc>
        <w:tc>
          <w:tcPr>
            <w:tcW w:w="0" w:type="auto"/>
            <w:tcBorders>
              <w:top w:val="single" w:sz="1" w:space="0" w:color="CCCCCC"/>
              <w:left w:val="single" w:sz="1" w:space="0" w:color="CCCCCC"/>
              <w:bottom w:val="single" w:sz="1" w:space="0" w:color="CCCCCC"/>
              <w:right w:val="single" w:sz="1" w:space="0" w:color="CCCCCC"/>
            </w:tcBorders>
            <w:shd w:val="clear" w:color="auto" w:fill="8B1A1A"/>
            <w:tcMar>
              <w:top w:w="60" w:type="dxa"/>
              <w:left w:w="80" w:type="dxa"/>
              <w:bottom w:w="60" w:type="dxa"/>
              <w:right w:w="80" w:type="dxa"/>
            </w:tcMar>
          </w:tcPr>
          <w:p w14:paraId="416830BB" w14:textId="77777777" w:rsidR="009248D3" w:rsidRDefault="00000000">
            <w:pPr>
              <w:jc w:val="center"/>
            </w:pPr>
            <w:r>
              <w:rPr>
                <w:rFonts w:ascii="Arial" w:eastAsia="Arial" w:hAnsi="Arial" w:cs="Arial"/>
                <w:b/>
                <w:bCs/>
                <w:color w:val="FFFFFF"/>
                <w:sz w:val="18"/>
                <w:szCs w:val="18"/>
              </w:rPr>
              <w:t>Step 5</w:t>
            </w:r>
          </w:p>
        </w:tc>
        <w:tc>
          <w:tcPr>
            <w:tcW w:w="0" w:type="auto"/>
            <w:tcBorders>
              <w:top w:val="single" w:sz="1" w:space="0" w:color="CCCCCC"/>
              <w:left w:val="single" w:sz="1" w:space="0" w:color="CCCCCC"/>
              <w:bottom w:val="single" w:sz="1" w:space="0" w:color="CCCCCC"/>
              <w:right w:val="single" w:sz="1" w:space="0" w:color="CCCCCC"/>
            </w:tcBorders>
            <w:shd w:val="clear" w:color="auto" w:fill="8B1A1A"/>
            <w:tcMar>
              <w:top w:w="60" w:type="dxa"/>
              <w:left w:w="80" w:type="dxa"/>
              <w:bottom w:w="60" w:type="dxa"/>
              <w:right w:w="80" w:type="dxa"/>
            </w:tcMar>
          </w:tcPr>
          <w:p w14:paraId="55223B04" w14:textId="77777777" w:rsidR="009248D3" w:rsidRDefault="00000000">
            <w:pPr>
              <w:jc w:val="center"/>
            </w:pPr>
            <w:r>
              <w:rPr>
                <w:rFonts w:ascii="Arial" w:eastAsia="Arial" w:hAnsi="Arial" w:cs="Arial"/>
                <w:b/>
                <w:bCs/>
                <w:color w:val="FFFFFF"/>
                <w:sz w:val="18"/>
                <w:szCs w:val="18"/>
              </w:rPr>
              <w:t>Step 6</w:t>
            </w:r>
          </w:p>
        </w:tc>
        <w:tc>
          <w:tcPr>
            <w:tcW w:w="0" w:type="auto"/>
            <w:tcBorders>
              <w:top w:val="single" w:sz="1" w:space="0" w:color="CCCCCC"/>
              <w:left w:val="single" w:sz="1" w:space="0" w:color="CCCCCC"/>
              <w:bottom w:val="single" w:sz="1" w:space="0" w:color="CCCCCC"/>
              <w:right w:val="single" w:sz="1" w:space="0" w:color="CCCCCC"/>
            </w:tcBorders>
            <w:shd w:val="clear" w:color="auto" w:fill="8B1A1A"/>
            <w:tcMar>
              <w:top w:w="60" w:type="dxa"/>
              <w:left w:w="80" w:type="dxa"/>
              <w:bottom w:w="60" w:type="dxa"/>
              <w:right w:w="80" w:type="dxa"/>
            </w:tcMar>
          </w:tcPr>
          <w:p w14:paraId="1D3EF46D" w14:textId="77777777" w:rsidR="009248D3" w:rsidRDefault="00000000">
            <w:pPr>
              <w:jc w:val="center"/>
            </w:pPr>
            <w:r>
              <w:rPr>
                <w:rFonts w:ascii="Arial" w:eastAsia="Arial" w:hAnsi="Arial" w:cs="Arial"/>
                <w:b/>
                <w:bCs/>
                <w:color w:val="FFFFFF"/>
                <w:sz w:val="18"/>
                <w:szCs w:val="18"/>
              </w:rPr>
              <w:t>Step 7</w:t>
            </w:r>
          </w:p>
        </w:tc>
      </w:tr>
      <w:tr w:rsidR="009248D3" w14:paraId="4919B79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14:paraId="44CAB24D" w14:textId="77777777" w:rsidR="009248D3" w:rsidRDefault="00000000">
            <w:pPr>
              <w:jc w:val="center"/>
            </w:pPr>
            <w:r>
              <w:rPr>
                <w:rFonts w:ascii="Arial" w:eastAsia="Arial" w:hAnsi="Arial" w:cs="Arial"/>
                <w:b/>
                <w:bCs/>
              </w:rPr>
              <w:t>Submit Paper Form</w:t>
            </w:r>
          </w:p>
          <w:p w14:paraId="2F271023" w14:textId="77777777" w:rsidR="009248D3" w:rsidRDefault="00000000">
            <w:pPr>
              <w:jc w:val="center"/>
            </w:pPr>
            <w:r>
              <w:rPr>
                <w:rFonts w:ascii="Arial" w:eastAsia="Arial" w:hAnsi="Arial" w:cs="Arial"/>
                <w:color w:val="555555"/>
                <w:sz w:val="18"/>
                <w:szCs w:val="18"/>
              </w:rPr>
              <w:t>Branch or mail only</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14:paraId="08A2D23B" w14:textId="77777777" w:rsidR="009248D3" w:rsidRDefault="00000000">
            <w:pPr>
              <w:jc w:val="center"/>
            </w:pPr>
            <w:r>
              <w:rPr>
                <w:rFonts w:ascii="Arial" w:eastAsia="Arial" w:hAnsi="Arial" w:cs="Arial"/>
                <w:b/>
                <w:bCs/>
              </w:rPr>
              <w:t>Manual Data Entry</w:t>
            </w:r>
          </w:p>
          <w:p w14:paraId="6967C7CB" w14:textId="77777777" w:rsidR="009248D3" w:rsidRDefault="00000000">
            <w:pPr>
              <w:jc w:val="center"/>
            </w:pPr>
            <w:r>
              <w:rPr>
                <w:rFonts w:ascii="Arial" w:eastAsia="Arial" w:hAnsi="Arial" w:cs="Arial"/>
                <w:color w:val="555555"/>
                <w:sz w:val="18"/>
                <w:szCs w:val="18"/>
              </w:rPr>
              <w:t>Ops re-keys all fields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14:paraId="4D68B6F3" w14:textId="77777777" w:rsidR="009248D3" w:rsidRDefault="00000000">
            <w:pPr>
              <w:jc w:val="center"/>
            </w:pPr>
            <w:r>
              <w:rPr>
                <w:rFonts w:ascii="Arial" w:eastAsia="Arial" w:hAnsi="Arial" w:cs="Arial"/>
                <w:b/>
                <w:bCs/>
              </w:rPr>
              <w:t>Document Check</w:t>
            </w:r>
          </w:p>
          <w:p w14:paraId="453F59F3" w14:textId="77777777" w:rsidR="009248D3" w:rsidRDefault="00000000">
            <w:pPr>
              <w:jc w:val="center"/>
            </w:pPr>
            <w:r>
              <w:rPr>
                <w:rFonts w:ascii="Arial" w:eastAsia="Arial" w:hAnsi="Arial" w:cs="Arial"/>
                <w:color w:val="555555"/>
                <w:sz w:val="18"/>
                <w:szCs w:val="18"/>
              </w:rPr>
              <w:t>Manual completeness review</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14:paraId="2A6A98AB" w14:textId="77777777" w:rsidR="009248D3" w:rsidRDefault="00000000">
            <w:pPr>
              <w:jc w:val="center"/>
            </w:pPr>
            <w:r>
              <w:rPr>
                <w:rFonts w:ascii="Arial" w:eastAsia="Arial" w:hAnsi="Arial" w:cs="Arial"/>
                <w:b/>
                <w:bCs/>
              </w:rPr>
              <w:t>Credit Bureau Pull</w:t>
            </w:r>
          </w:p>
          <w:p w14:paraId="566FA658" w14:textId="77777777" w:rsidR="009248D3" w:rsidRDefault="00000000">
            <w:pPr>
              <w:jc w:val="center"/>
            </w:pPr>
            <w:r>
              <w:rPr>
                <w:rFonts w:ascii="Arial" w:eastAsia="Arial" w:hAnsi="Arial" w:cs="Arial"/>
                <w:color w:val="555555"/>
                <w:sz w:val="18"/>
                <w:szCs w:val="18"/>
              </w:rPr>
              <w:t>Analyst pulls manually</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14:paraId="144D7016" w14:textId="77777777" w:rsidR="009248D3" w:rsidRDefault="00000000">
            <w:pPr>
              <w:jc w:val="center"/>
            </w:pPr>
            <w:r>
              <w:rPr>
                <w:rFonts w:ascii="Arial" w:eastAsia="Arial" w:hAnsi="Arial" w:cs="Arial"/>
                <w:b/>
                <w:bCs/>
              </w:rPr>
              <w:t>Risk Scoring</w:t>
            </w:r>
          </w:p>
          <w:p w14:paraId="79D1C7F7" w14:textId="77777777" w:rsidR="009248D3" w:rsidRDefault="00000000">
            <w:pPr>
              <w:jc w:val="center"/>
            </w:pPr>
            <w:r>
              <w:rPr>
                <w:rFonts w:ascii="Arial" w:eastAsia="Arial" w:hAnsi="Arial" w:cs="Arial"/>
                <w:color w:val="555555"/>
                <w:sz w:val="18"/>
                <w:szCs w:val="18"/>
              </w:rPr>
              <w:t>Spreadsheet model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14:paraId="7FF155F9" w14:textId="77777777" w:rsidR="009248D3" w:rsidRDefault="00000000">
            <w:pPr>
              <w:jc w:val="center"/>
            </w:pPr>
            <w:r>
              <w:rPr>
                <w:rFonts w:ascii="Arial" w:eastAsia="Arial" w:hAnsi="Arial" w:cs="Arial"/>
                <w:b/>
                <w:bCs/>
              </w:rPr>
              <w:t>Manager Sign-off</w:t>
            </w:r>
          </w:p>
          <w:p w14:paraId="687C2C6A" w14:textId="77777777" w:rsidR="009248D3" w:rsidRDefault="00000000">
            <w:pPr>
              <w:jc w:val="center"/>
            </w:pPr>
            <w:r>
              <w:rPr>
                <w:rFonts w:ascii="Arial" w:eastAsia="Arial" w:hAnsi="Arial" w:cs="Arial"/>
                <w:color w:val="555555"/>
                <w:sz w:val="18"/>
                <w:szCs w:val="18"/>
              </w:rPr>
              <w:t>Paper approval required</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14:paraId="7EC0BB31" w14:textId="77777777" w:rsidR="009248D3" w:rsidRDefault="00000000">
            <w:pPr>
              <w:jc w:val="center"/>
            </w:pPr>
            <w:r>
              <w:rPr>
                <w:rFonts w:ascii="Arial" w:eastAsia="Arial" w:hAnsi="Arial" w:cs="Arial"/>
                <w:b/>
                <w:bCs/>
              </w:rPr>
              <w:t>Decision Letter</w:t>
            </w:r>
          </w:p>
          <w:p w14:paraId="42DA3B17" w14:textId="77777777" w:rsidR="009248D3" w:rsidRDefault="00000000">
            <w:pPr>
              <w:jc w:val="center"/>
            </w:pPr>
            <w:r>
              <w:rPr>
                <w:rFonts w:ascii="Arial" w:eastAsia="Arial" w:hAnsi="Arial" w:cs="Arial"/>
                <w:color w:val="555555"/>
                <w:sz w:val="18"/>
                <w:szCs w:val="18"/>
              </w:rPr>
              <w:t>Mailed to applicant</w:t>
            </w:r>
          </w:p>
        </w:tc>
      </w:tr>
      <w:tr w:rsidR="009248D3" w14:paraId="7688DB7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80" w:type="dxa"/>
              <w:bottom w:w="80" w:type="dxa"/>
              <w:right w:w="80" w:type="dxa"/>
            </w:tcMar>
          </w:tcPr>
          <w:p w14:paraId="7AA5450A" w14:textId="77777777" w:rsidR="009248D3" w:rsidRDefault="00000000">
            <w:pPr>
              <w:jc w:val="center"/>
            </w:pPr>
            <w:r>
              <w:rPr>
                <w:rFonts w:ascii="Arial" w:eastAsia="Arial" w:hAnsi="Arial" w:cs="Arial"/>
                <w:i/>
                <w:iCs/>
                <w:color w:val="8B1A1A"/>
                <w:sz w:val="18"/>
                <w:szCs w:val="18"/>
              </w:rPr>
              <w:t>⚠ No digital channel</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80" w:type="dxa"/>
              <w:bottom w:w="80" w:type="dxa"/>
              <w:right w:w="80" w:type="dxa"/>
            </w:tcMar>
          </w:tcPr>
          <w:p w14:paraId="31569662" w14:textId="77777777" w:rsidR="009248D3" w:rsidRDefault="00000000">
            <w:pPr>
              <w:jc w:val="center"/>
            </w:pPr>
            <w:r>
              <w:rPr>
                <w:rFonts w:ascii="Arial" w:eastAsia="Arial" w:hAnsi="Arial" w:cs="Arial"/>
                <w:i/>
                <w:iCs/>
                <w:color w:val="8B1A1A"/>
                <w:sz w:val="18"/>
                <w:szCs w:val="18"/>
              </w:rPr>
              <w:t>⚠ 12% error rate</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80" w:type="dxa"/>
              <w:bottom w:w="80" w:type="dxa"/>
              <w:right w:w="80" w:type="dxa"/>
            </w:tcMar>
          </w:tcPr>
          <w:p w14:paraId="61D3E9EB" w14:textId="77777777" w:rsidR="009248D3" w:rsidRDefault="00000000">
            <w:pPr>
              <w:jc w:val="center"/>
            </w:pPr>
            <w:r>
              <w:rPr>
                <w:rFonts w:ascii="Arial" w:eastAsia="Arial" w:hAnsi="Arial" w:cs="Arial"/>
                <w:i/>
                <w:iCs/>
                <w:color w:val="8B1A1A"/>
                <w:sz w:val="18"/>
                <w:szCs w:val="18"/>
              </w:rPr>
              <w:t>⚠ 40% returned incomplete</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80" w:type="dxa"/>
              <w:bottom w:w="80" w:type="dxa"/>
              <w:right w:w="80" w:type="dxa"/>
            </w:tcMar>
          </w:tcPr>
          <w:p w14:paraId="19C1BEAE" w14:textId="77777777" w:rsidR="009248D3" w:rsidRDefault="00000000">
            <w:pPr>
              <w:jc w:val="center"/>
            </w:pPr>
            <w:r>
              <w:rPr>
                <w:rFonts w:ascii="Arial" w:eastAsia="Arial" w:hAnsi="Arial" w:cs="Arial"/>
                <w:i/>
                <w:iCs/>
                <w:color w:val="8B1A1A"/>
                <w:sz w:val="18"/>
                <w:szCs w:val="18"/>
              </w:rPr>
              <w:t>⚠ Slow, inconsistent</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80" w:type="dxa"/>
              <w:bottom w:w="80" w:type="dxa"/>
              <w:right w:w="80" w:type="dxa"/>
            </w:tcMar>
          </w:tcPr>
          <w:p w14:paraId="38BCD8AD" w14:textId="77777777" w:rsidR="009248D3" w:rsidRDefault="00000000">
            <w:pPr>
              <w:jc w:val="center"/>
            </w:pPr>
            <w:r>
              <w:rPr>
                <w:rFonts w:ascii="Arial" w:eastAsia="Arial" w:hAnsi="Arial" w:cs="Arial"/>
                <w:i/>
                <w:iCs/>
                <w:color w:val="8B1A1A"/>
                <w:sz w:val="18"/>
                <w:szCs w:val="18"/>
              </w:rPr>
              <w:t>⚠ Varies by analyst</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80" w:type="dxa"/>
              <w:bottom w:w="80" w:type="dxa"/>
              <w:right w:w="80" w:type="dxa"/>
            </w:tcMar>
          </w:tcPr>
          <w:p w14:paraId="3FD138EB" w14:textId="77777777" w:rsidR="009248D3" w:rsidRDefault="00000000">
            <w:pPr>
              <w:jc w:val="center"/>
            </w:pPr>
            <w:r>
              <w:rPr>
                <w:rFonts w:ascii="Arial" w:eastAsia="Arial" w:hAnsi="Arial" w:cs="Arial"/>
                <w:i/>
                <w:iCs/>
                <w:color w:val="8B1A1A"/>
                <w:sz w:val="18"/>
                <w:szCs w:val="18"/>
              </w:rPr>
              <w:t>⚠ Adds 2–3 days</w:t>
            </w:r>
          </w:p>
        </w:tc>
        <w:tc>
          <w:tcPr>
            <w:tcW w:w="0" w:type="auto"/>
            <w:tcBorders>
              <w:top w:val="single" w:sz="1" w:space="0" w:color="CCCCCC"/>
              <w:left w:val="single" w:sz="1" w:space="0" w:color="CCCCCC"/>
              <w:bottom w:val="single" w:sz="1" w:space="0" w:color="CCCCCC"/>
              <w:right w:val="single" w:sz="1" w:space="0" w:color="CCCCCC"/>
            </w:tcBorders>
            <w:shd w:val="clear" w:color="auto" w:fill="FDECEA"/>
            <w:tcMar>
              <w:top w:w="80" w:type="dxa"/>
              <w:left w:w="80" w:type="dxa"/>
              <w:bottom w:w="80" w:type="dxa"/>
              <w:right w:w="80" w:type="dxa"/>
            </w:tcMar>
          </w:tcPr>
          <w:p w14:paraId="58816191" w14:textId="77777777" w:rsidR="009248D3" w:rsidRDefault="00000000">
            <w:pPr>
              <w:jc w:val="center"/>
            </w:pPr>
            <w:r>
              <w:rPr>
                <w:rFonts w:ascii="Arial" w:eastAsia="Arial" w:hAnsi="Arial" w:cs="Arial"/>
                <w:i/>
                <w:iCs/>
                <w:color w:val="8B1A1A"/>
                <w:sz w:val="18"/>
                <w:szCs w:val="18"/>
              </w:rPr>
              <w:t>⚠ Takes 3–5 days by post</w:t>
            </w:r>
          </w:p>
        </w:tc>
      </w:tr>
    </w:tbl>
    <w:p w14:paraId="7B58D56C" w14:textId="77777777" w:rsidR="009248D3" w:rsidRDefault="009248D3">
      <w:pPr>
        <w:spacing w:before="60"/>
      </w:pPr>
    </w:p>
    <w:p w14:paraId="1A00850D" w14:textId="77777777" w:rsidR="009248D3" w:rsidRDefault="009248D3">
      <w:pPr>
        <w:spacing w:before="40"/>
      </w:pPr>
    </w:p>
    <w:p w14:paraId="20FCFE18" w14:textId="77777777" w:rsidR="009248D3" w:rsidRDefault="00000000">
      <w:pPr>
        <w:spacing w:before="60" w:after="60"/>
      </w:pPr>
      <w:r>
        <w:rPr>
          <w:rFonts w:ascii="Arial" w:eastAsia="Arial" w:hAnsi="Arial" w:cs="Arial"/>
          <w:sz w:val="22"/>
          <w:szCs w:val="22"/>
        </w:rPr>
        <w:t>Key observations from the As-Is process:</w:t>
      </w:r>
    </w:p>
    <w:p w14:paraId="24ACA54E" w14:textId="77777777" w:rsidR="009248D3" w:rsidRDefault="00000000">
      <w:pPr>
        <w:pStyle w:val="ListParagraph"/>
        <w:numPr>
          <w:ilvl w:val="0"/>
          <w:numId w:val="2"/>
        </w:numPr>
        <w:spacing w:before="40" w:after="40"/>
      </w:pPr>
      <w:r>
        <w:rPr>
          <w:rFonts w:ascii="Arial" w:eastAsia="Arial" w:hAnsi="Arial" w:cs="Arial"/>
          <w:color w:val="222222"/>
          <w:sz w:val="22"/>
          <w:szCs w:val="22"/>
        </w:rPr>
        <w:t>The entire process is paper and in-person dependent — there is no digital entry point for residents</w:t>
      </w:r>
    </w:p>
    <w:p w14:paraId="0E4E58DC" w14:textId="77777777" w:rsidR="009248D3" w:rsidRDefault="00000000">
      <w:pPr>
        <w:pStyle w:val="ListParagraph"/>
        <w:numPr>
          <w:ilvl w:val="0"/>
          <w:numId w:val="2"/>
        </w:numPr>
        <w:spacing w:before="40" w:after="40"/>
      </w:pPr>
      <w:r>
        <w:rPr>
          <w:rFonts w:ascii="Arial" w:eastAsia="Arial" w:hAnsi="Arial" w:cs="Arial"/>
          <w:color w:val="222222"/>
          <w:sz w:val="22"/>
          <w:szCs w:val="22"/>
        </w:rPr>
        <w:t>Manual data re-entry by operations staff introduces an estimated 12% error rate, causing downstream delays</w:t>
      </w:r>
    </w:p>
    <w:p w14:paraId="6EB3BA40" w14:textId="77777777" w:rsidR="009248D3" w:rsidRDefault="00000000">
      <w:pPr>
        <w:pStyle w:val="ListParagraph"/>
        <w:numPr>
          <w:ilvl w:val="0"/>
          <w:numId w:val="2"/>
        </w:numPr>
        <w:spacing w:before="40" w:after="40"/>
      </w:pPr>
      <w:r>
        <w:rPr>
          <w:rFonts w:ascii="Arial" w:eastAsia="Arial" w:hAnsi="Arial" w:cs="Arial"/>
          <w:color w:val="222222"/>
          <w:sz w:val="22"/>
          <w:szCs w:val="22"/>
        </w:rPr>
        <w:t>40% of applications are returned to the resident due to missing documents — adding 5–7 business days per resubmission loop</w:t>
      </w:r>
    </w:p>
    <w:p w14:paraId="7FFD0A47" w14:textId="77777777" w:rsidR="009248D3" w:rsidRDefault="00000000">
      <w:pPr>
        <w:pStyle w:val="ListParagraph"/>
        <w:numPr>
          <w:ilvl w:val="0"/>
          <w:numId w:val="2"/>
        </w:numPr>
        <w:spacing w:before="40" w:after="40"/>
      </w:pPr>
      <w:r>
        <w:rPr>
          <w:rFonts w:ascii="Arial" w:eastAsia="Arial" w:hAnsi="Arial" w:cs="Arial"/>
          <w:color w:val="222222"/>
          <w:sz w:val="22"/>
          <w:szCs w:val="22"/>
        </w:rPr>
        <w:t>Risk scoring varies by analyst — the same application may receive different outcomes depending on who processes it</w:t>
      </w:r>
    </w:p>
    <w:p w14:paraId="29804EB0" w14:textId="77777777" w:rsidR="009248D3" w:rsidRDefault="00000000">
      <w:pPr>
        <w:pStyle w:val="ListParagraph"/>
        <w:numPr>
          <w:ilvl w:val="0"/>
          <w:numId w:val="2"/>
        </w:numPr>
        <w:spacing w:before="40" w:after="40"/>
      </w:pPr>
      <w:r>
        <w:rPr>
          <w:rFonts w:ascii="Arial" w:eastAsia="Arial" w:hAnsi="Arial" w:cs="Arial"/>
          <w:color w:val="222222"/>
          <w:sz w:val="22"/>
          <w:szCs w:val="22"/>
        </w:rPr>
        <w:t>The decision is communicated by post, adding 3–5 days after an already lengthy process</w:t>
      </w:r>
    </w:p>
    <w:p w14:paraId="3A578A62" w14:textId="77777777" w:rsidR="009248D3" w:rsidRDefault="00000000">
      <w:pPr>
        <w:pStyle w:val="ListParagraph"/>
        <w:numPr>
          <w:ilvl w:val="0"/>
          <w:numId w:val="2"/>
        </w:numPr>
        <w:spacing w:before="40" w:after="40"/>
      </w:pPr>
      <w:r>
        <w:rPr>
          <w:rFonts w:ascii="Arial" w:eastAsia="Arial" w:hAnsi="Arial" w:cs="Arial"/>
          <w:color w:val="222222"/>
          <w:sz w:val="22"/>
          <w:szCs w:val="22"/>
        </w:rPr>
        <w:t>Total average cycle time: 18–22 business days from submission to decision</w:t>
      </w:r>
    </w:p>
    <w:p w14:paraId="4B64A047" w14:textId="77777777" w:rsidR="009248D3" w:rsidRDefault="009248D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8755"/>
      </w:tblGrid>
      <w:tr w:rsidR="009248D3" w14:paraId="23CD2E99" w14:textId="77777777">
        <w:tblPrEx>
          <w:tblCellMar>
            <w:top w:w="0" w:type="dxa"/>
            <w:bottom w:w="0" w:type="dxa"/>
          </w:tblCellMar>
        </w:tblPrEx>
        <w:tc>
          <w:tcPr>
            <w:tcW w:w="220" w:type="dxa"/>
            <w:tcBorders>
              <w:top w:val="single" w:sz="1" w:space="0" w:color="CCCCCC"/>
              <w:left w:val="single" w:sz="1" w:space="0" w:color="CCCCCC"/>
              <w:bottom w:val="single" w:sz="1" w:space="0" w:color="CCCCCC"/>
              <w:right w:val="single" w:sz="1" w:space="0" w:color="CCCCCC"/>
            </w:tcBorders>
            <w:shd w:val="clear" w:color="auto" w:fill="EF9F27"/>
            <w:tcMar>
              <w:top w:w="80" w:type="dxa"/>
              <w:left w:w="80" w:type="dxa"/>
              <w:bottom w:w="80" w:type="dxa"/>
              <w:right w:w="80" w:type="dxa"/>
            </w:tcMar>
            <w:vAlign w:val="center"/>
          </w:tcPr>
          <w:p w14:paraId="6E6592FD" w14:textId="77777777" w:rsidR="009248D3" w:rsidRDefault="00000000">
            <w:pPr>
              <w:jc w:val="center"/>
            </w:pPr>
            <w:r>
              <w:rPr>
                <w:rFonts w:ascii="Arial" w:eastAsia="Arial" w:hAnsi="Arial" w:cs="Arial"/>
                <w:b/>
                <w:bCs/>
                <w:color w:val="FFFFFF"/>
                <w:sz w:val="16"/>
                <w:szCs w:val="16"/>
              </w:rPr>
              <w:t>BA NOTE</w:t>
            </w:r>
          </w:p>
        </w:tc>
        <w:tc>
          <w:tcPr>
            <w:tcW w:w="9140" w:type="dxa"/>
            <w:tcBorders>
              <w:top w:val="single" w:sz="1" w:space="0" w:color="CCCCCC"/>
              <w:left w:val="single" w:sz="1" w:space="0" w:color="CCCCCC"/>
              <w:bottom w:val="single" w:sz="1" w:space="0" w:color="CCCCCC"/>
              <w:right w:val="single" w:sz="1" w:space="0" w:color="CCCCCC"/>
            </w:tcBorders>
            <w:shd w:val="clear" w:color="auto" w:fill="FEF3DC"/>
            <w:tcMar>
              <w:top w:w="80" w:type="dxa"/>
              <w:left w:w="120" w:type="dxa"/>
              <w:bottom w:w="80" w:type="dxa"/>
              <w:right w:w="120" w:type="dxa"/>
            </w:tcMar>
          </w:tcPr>
          <w:p w14:paraId="49C4F3E3" w14:textId="77777777" w:rsidR="009248D3" w:rsidRDefault="00000000">
            <w:r>
              <w:rPr>
                <w:rFonts w:ascii="Arial" w:eastAsia="Arial" w:hAnsi="Arial" w:cs="Arial"/>
                <w:i/>
                <w:iCs/>
                <w:color w:val="633806"/>
              </w:rPr>
              <w:t>In a real engagement, this section would be validated with front-line staff before presenting to leadership. You never present an As-Is map without confirming it reflects reality — otherwise you lose credibility with the people who live the process.</w:t>
            </w:r>
          </w:p>
        </w:tc>
      </w:tr>
    </w:tbl>
    <w:p w14:paraId="118162F9" w14:textId="77777777" w:rsidR="009248D3" w:rsidRDefault="009248D3">
      <w:pPr>
        <w:spacing w:before="120"/>
      </w:pPr>
    </w:p>
    <w:p w14:paraId="2BBEB78F" w14:textId="77777777" w:rsidR="009248D3" w:rsidRDefault="00000000">
      <w:pPr>
        <w:pBdr>
          <w:bottom w:val="single" w:sz="8" w:space="4" w:color="1A3C6E"/>
        </w:pBdr>
        <w:spacing w:before="320" w:after="160"/>
      </w:pPr>
      <w:r>
        <w:rPr>
          <w:rFonts w:ascii="Arial" w:eastAsia="Arial" w:hAnsi="Arial" w:cs="Arial"/>
          <w:b/>
          <w:bCs/>
          <w:color w:val="1A3C6E"/>
          <w:sz w:val="32"/>
          <w:szCs w:val="32"/>
        </w:rPr>
        <w:t>3. To-Be Process Map — Future State</w:t>
      </w:r>
    </w:p>
    <w:p w14:paraId="4E94BF44" w14:textId="77777777" w:rsidR="009248D3" w:rsidRDefault="00000000">
      <w:pPr>
        <w:spacing w:before="60" w:after="60"/>
      </w:pPr>
      <w:r>
        <w:rPr>
          <w:rFonts w:ascii="Arial" w:eastAsia="Arial" w:hAnsi="Arial" w:cs="Arial"/>
          <w:sz w:val="22"/>
          <w:szCs w:val="22"/>
        </w:rPr>
        <w:lastRenderedPageBreak/>
        <w:t>The To-Be map shows the redesigned process after digital transformation. It directly addresses each pain point identified in the As-Is map. Seventy percent of eligible applications will be fully auto-decisioned with no human involvement required.</w:t>
      </w:r>
    </w:p>
    <w:p w14:paraId="3B7A7722" w14:textId="77777777" w:rsidR="009248D3" w:rsidRDefault="009248D3">
      <w:pPr>
        <w:spacing w:before="60"/>
      </w:pPr>
    </w:p>
    <w:p w14:paraId="64392E9D" w14:textId="77777777" w:rsidR="009248D3" w:rsidRDefault="00000000">
      <w:pPr>
        <w:spacing w:before="240" w:after="100"/>
      </w:pPr>
      <w:r>
        <w:rPr>
          <w:rFonts w:ascii="Arial" w:eastAsia="Arial" w:hAnsi="Arial" w:cs="Arial"/>
          <w:b/>
          <w:bCs/>
          <w:color w:val="1A3C6E"/>
          <w:sz w:val="24"/>
          <w:szCs w:val="24"/>
        </w:rPr>
        <w:t>Future State: Health Card / Licence Renewal (Digital)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5"/>
        <w:gridCol w:w="1149"/>
        <w:gridCol w:w="1354"/>
        <w:gridCol w:w="1517"/>
        <w:gridCol w:w="1195"/>
        <w:gridCol w:w="1459"/>
        <w:gridCol w:w="1541"/>
      </w:tblGrid>
      <w:tr w:rsidR="009248D3" w14:paraId="5FDA917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F6E56"/>
            <w:tcMar>
              <w:top w:w="60" w:type="dxa"/>
              <w:left w:w="80" w:type="dxa"/>
              <w:bottom w:w="60" w:type="dxa"/>
              <w:right w:w="80" w:type="dxa"/>
            </w:tcMar>
          </w:tcPr>
          <w:p w14:paraId="00BE2005" w14:textId="77777777" w:rsidR="009248D3" w:rsidRDefault="00000000">
            <w:pPr>
              <w:jc w:val="center"/>
            </w:pPr>
            <w:r>
              <w:rPr>
                <w:rFonts w:ascii="Arial" w:eastAsia="Arial" w:hAnsi="Arial" w:cs="Arial"/>
                <w:b/>
                <w:bCs/>
                <w:color w:val="FFFFFF"/>
                <w:sz w:val="18"/>
                <w:szCs w:val="18"/>
              </w:rPr>
              <w:t>Step 1</w:t>
            </w:r>
          </w:p>
        </w:tc>
        <w:tc>
          <w:tcPr>
            <w:tcW w:w="0" w:type="auto"/>
            <w:tcBorders>
              <w:top w:val="single" w:sz="1" w:space="0" w:color="CCCCCC"/>
              <w:left w:val="single" w:sz="1" w:space="0" w:color="CCCCCC"/>
              <w:bottom w:val="single" w:sz="1" w:space="0" w:color="CCCCCC"/>
              <w:right w:val="single" w:sz="1" w:space="0" w:color="CCCCCC"/>
            </w:tcBorders>
            <w:shd w:val="clear" w:color="auto" w:fill="0F6E56"/>
            <w:tcMar>
              <w:top w:w="60" w:type="dxa"/>
              <w:left w:w="80" w:type="dxa"/>
              <w:bottom w:w="60" w:type="dxa"/>
              <w:right w:w="80" w:type="dxa"/>
            </w:tcMar>
          </w:tcPr>
          <w:p w14:paraId="18DF1146" w14:textId="77777777" w:rsidR="009248D3" w:rsidRDefault="00000000">
            <w:pPr>
              <w:jc w:val="center"/>
            </w:pPr>
            <w:r>
              <w:rPr>
                <w:rFonts w:ascii="Arial" w:eastAsia="Arial" w:hAnsi="Arial" w:cs="Arial"/>
                <w:b/>
                <w:bCs/>
                <w:color w:val="FFFFFF"/>
                <w:sz w:val="18"/>
                <w:szCs w:val="18"/>
              </w:rPr>
              <w:t>Step 2</w:t>
            </w:r>
          </w:p>
        </w:tc>
        <w:tc>
          <w:tcPr>
            <w:tcW w:w="0" w:type="auto"/>
            <w:tcBorders>
              <w:top w:val="single" w:sz="1" w:space="0" w:color="CCCCCC"/>
              <w:left w:val="single" w:sz="1" w:space="0" w:color="CCCCCC"/>
              <w:bottom w:val="single" w:sz="1" w:space="0" w:color="CCCCCC"/>
              <w:right w:val="single" w:sz="1" w:space="0" w:color="CCCCCC"/>
            </w:tcBorders>
            <w:shd w:val="clear" w:color="auto" w:fill="0F6E56"/>
            <w:tcMar>
              <w:top w:w="60" w:type="dxa"/>
              <w:left w:w="80" w:type="dxa"/>
              <w:bottom w:w="60" w:type="dxa"/>
              <w:right w:w="80" w:type="dxa"/>
            </w:tcMar>
          </w:tcPr>
          <w:p w14:paraId="40A65969" w14:textId="77777777" w:rsidR="009248D3" w:rsidRDefault="00000000">
            <w:pPr>
              <w:jc w:val="center"/>
            </w:pPr>
            <w:r>
              <w:rPr>
                <w:rFonts w:ascii="Arial" w:eastAsia="Arial" w:hAnsi="Arial" w:cs="Arial"/>
                <w:b/>
                <w:bCs/>
                <w:color w:val="FFFFFF"/>
                <w:sz w:val="18"/>
                <w:szCs w:val="18"/>
              </w:rPr>
              <w:t>Step 3</w:t>
            </w:r>
          </w:p>
        </w:tc>
        <w:tc>
          <w:tcPr>
            <w:tcW w:w="0" w:type="auto"/>
            <w:tcBorders>
              <w:top w:val="single" w:sz="1" w:space="0" w:color="CCCCCC"/>
              <w:left w:val="single" w:sz="1" w:space="0" w:color="CCCCCC"/>
              <w:bottom w:val="single" w:sz="1" w:space="0" w:color="CCCCCC"/>
              <w:right w:val="single" w:sz="1" w:space="0" w:color="CCCCCC"/>
            </w:tcBorders>
            <w:shd w:val="clear" w:color="auto" w:fill="0F6E56"/>
            <w:tcMar>
              <w:top w:w="60" w:type="dxa"/>
              <w:left w:w="80" w:type="dxa"/>
              <w:bottom w:w="60" w:type="dxa"/>
              <w:right w:w="80" w:type="dxa"/>
            </w:tcMar>
          </w:tcPr>
          <w:p w14:paraId="48C0F237" w14:textId="77777777" w:rsidR="009248D3" w:rsidRDefault="00000000">
            <w:pPr>
              <w:jc w:val="center"/>
            </w:pPr>
            <w:r>
              <w:rPr>
                <w:rFonts w:ascii="Arial" w:eastAsia="Arial" w:hAnsi="Arial" w:cs="Arial"/>
                <w:b/>
                <w:bCs/>
                <w:color w:val="FFFFFF"/>
                <w:sz w:val="18"/>
                <w:szCs w:val="18"/>
              </w:rPr>
              <w:t>Step 4</w:t>
            </w:r>
          </w:p>
        </w:tc>
        <w:tc>
          <w:tcPr>
            <w:tcW w:w="0" w:type="auto"/>
            <w:tcBorders>
              <w:top w:val="single" w:sz="1" w:space="0" w:color="CCCCCC"/>
              <w:left w:val="single" w:sz="1" w:space="0" w:color="CCCCCC"/>
              <w:bottom w:val="single" w:sz="1" w:space="0" w:color="CCCCCC"/>
              <w:right w:val="single" w:sz="1" w:space="0" w:color="CCCCCC"/>
            </w:tcBorders>
            <w:shd w:val="clear" w:color="auto" w:fill="0F6E56"/>
            <w:tcMar>
              <w:top w:w="60" w:type="dxa"/>
              <w:left w:w="80" w:type="dxa"/>
              <w:bottom w:w="60" w:type="dxa"/>
              <w:right w:w="80" w:type="dxa"/>
            </w:tcMar>
          </w:tcPr>
          <w:p w14:paraId="2D18FAB4" w14:textId="77777777" w:rsidR="009248D3" w:rsidRDefault="00000000">
            <w:pPr>
              <w:jc w:val="center"/>
            </w:pPr>
            <w:r>
              <w:rPr>
                <w:rFonts w:ascii="Arial" w:eastAsia="Arial" w:hAnsi="Arial" w:cs="Arial"/>
                <w:b/>
                <w:bCs/>
                <w:color w:val="FFFFFF"/>
                <w:sz w:val="18"/>
                <w:szCs w:val="18"/>
              </w:rPr>
              <w:t>Step 5</w:t>
            </w:r>
          </w:p>
        </w:tc>
        <w:tc>
          <w:tcPr>
            <w:tcW w:w="0" w:type="auto"/>
            <w:tcBorders>
              <w:top w:val="single" w:sz="1" w:space="0" w:color="CCCCCC"/>
              <w:left w:val="single" w:sz="1" w:space="0" w:color="CCCCCC"/>
              <w:bottom w:val="single" w:sz="1" w:space="0" w:color="CCCCCC"/>
              <w:right w:val="single" w:sz="1" w:space="0" w:color="CCCCCC"/>
            </w:tcBorders>
            <w:shd w:val="clear" w:color="auto" w:fill="0F6E56"/>
            <w:tcMar>
              <w:top w:w="60" w:type="dxa"/>
              <w:left w:w="80" w:type="dxa"/>
              <w:bottom w:w="60" w:type="dxa"/>
              <w:right w:w="80" w:type="dxa"/>
            </w:tcMar>
          </w:tcPr>
          <w:p w14:paraId="3256933F" w14:textId="77777777" w:rsidR="009248D3" w:rsidRDefault="00000000">
            <w:pPr>
              <w:jc w:val="center"/>
            </w:pPr>
            <w:r>
              <w:rPr>
                <w:rFonts w:ascii="Arial" w:eastAsia="Arial" w:hAnsi="Arial" w:cs="Arial"/>
                <w:b/>
                <w:bCs/>
                <w:color w:val="FFFFFF"/>
                <w:sz w:val="18"/>
                <w:szCs w:val="18"/>
              </w:rPr>
              <w:t>Step 6</w:t>
            </w:r>
          </w:p>
        </w:tc>
        <w:tc>
          <w:tcPr>
            <w:tcW w:w="0" w:type="auto"/>
            <w:tcBorders>
              <w:top w:val="single" w:sz="1" w:space="0" w:color="CCCCCC"/>
              <w:left w:val="single" w:sz="1" w:space="0" w:color="CCCCCC"/>
              <w:bottom w:val="single" w:sz="1" w:space="0" w:color="CCCCCC"/>
              <w:right w:val="single" w:sz="1" w:space="0" w:color="CCCCCC"/>
            </w:tcBorders>
            <w:shd w:val="clear" w:color="auto" w:fill="0F6E56"/>
            <w:tcMar>
              <w:top w:w="60" w:type="dxa"/>
              <w:left w:w="80" w:type="dxa"/>
              <w:bottom w:w="60" w:type="dxa"/>
              <w:right w:w="80" w:type="dxa"/>
            </w:tcMar>
          </w:tcPr>
          <w:p w14:paraId="3E5BB925" w14:textId="77777777" w:rsidR="009248D3" w:rsidRDefault="00000000">
            <w:pPr>
              <w:jc w:val="center"/>
            </w:pPr>
            <w:r>
              <w:rPr>
                <w:rFonts w:ascii="Arial" w:eastAsia="Arial" w:hAnsi="Arial" w:cs="Arial"/>
                <w:b/>
                <w:bCs/>
                <w:color w:val="FFFFFF"/>
                <w:sz w:val="18"/>
                <w:szCs w:val="18"/>
              </w:rPr>
              <w:t>Step 7</w:t>
            </w:r>
          </w:p>
        </w:tc>
      </w:tr>
      <w:tr w:rsidR="009248D3" w14:paraId="107017D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14:paraId="5F0A5D16" w14:textId="77777777" w:rsidR="009248D3" w:rsidRDefault="00000000">
            <w:pPr>
              <w:jc w:val="center"/>
            </w:pPr>
            <w:r>
              <w:rPr>
                <w:rFonts w:ascii="Arial" w:eastAsia="Arial" w:hAnsi="Arial" w:cs="Arial"/>
                <w:b/>
                <w:bCs/>
              </w:rPr>
              <w:t>Digital Portal</w:t>
            </w:r>
          </w:p>
          <w:p w14:paraId="2BA2084F" w14:textId="77777777" w:rsidR="009248D3" w:rsidRDefault="00000000">
            <w:pPr>
              <w:jc w:val="center"/>
            </w:pPr>
            <w:r>
              <w:rPr>
                <w:rFonts w:ascii="Arial" w:eastAsia="Arial" w:hAnsi="Arial" w:cs="Arial"/>
                <w:color w:val="555555"/>
                <w:sz w:val="18"/>
                <w:szCs w:val="18"/>
              </w:rPr>
              <w:t>Web + mobile, 24/7</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14:paraId="02258716" w14:textId="77777777" w:rsidR="009248D3" w:rsidRDefault="00000000">
            <w:pPr>
              <w:jc w:val="center"/>
            </w:pPr>
            <w:r>
              <w:rPr>
                <w:rFonts w:ascii="Arial" w:eastAsia="Arial" w:hAnsi="Arial" w:cs="Arial"/>
                <w:b/>
                <w:bCs/>
              </w:rPr>
              <w:t>Auto Doc Check</w:t>
            </w:r>
          </w:p>
          <w:p w14:paraId="74BBF5EF" w14:textId="77777777" w:rsidR="009248D3" w:rsidRDefault="00000000">
            <w:pPr>
              <w:jc w:val="center"/>
            </w:pPr>
            <w:r>
              <w:rPr>
                <w:rFonts w:ascii="Arial" w:eastAsia="Arial" w:hAnsi="Arial" w:cs="Arial"/>
                <w:color w:val="555555"/>
                <w:sz w:val="18"/>
                <w:szCs w:val="18"/>
              </w:rPr>
              <w:t>OCR + rules engine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14:paraId="69D6D2B3" w14:textId="77777777" w:rsidR="009248D3" w:rsidRDefault="00000000">
            <w:pPr>
              <w:jc w:val="center"/>
            </w:pPr>
            <w:r>
              <w:rPr>
                <w:rFonts w:ascii="Arial" w:eastAsia="Arial" w:hAnsi="Arial" w:cs="Arial"/>
                <w:b/>
                <w:bCs/>
              </w:rPr>
              <w:t>Live Bureau API</w:t>
            </w:r>
          </w:p>
          <w:p w14:paraId="715E1E20" w14:textId="77777777" w:rsidR="009248D3" w:rsidRDefault="00000000">
            <w:pPr>
              <w:jc w:val="center"/>
            </w:pPr>
            <w:r>
              <w:rPr>
                <w:rFonts w:ascii="Arial" w:eastAsia="Arial" w:hAnsi="Arial" w:cs="Arial"/>
                <w:color w:val="555555"/>
                <w:sz w:val="18"/>
                <w:szCs w:val="18"/>
              </w:rPr>
              <w:t>Automated credit pull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14:paraId="42B6B08E" w14:textId="77777777" w:rsidR="009248D3" w:rsidRDefault="00000000">
            <w:pPr>
              <w:jc w:val="center"/>
            </w:pPr>
            <w:r>
              <w:rPr>
                <w:rFonts w:ascii="Arial" w:eastAsia="Arial" w:hAnsi="Arial" w:cs="Arial"/>
                <w:b/>
                <w:bCs/>
              </w:rPr>
              <w:t>ML Scoring Engine</w:t>
            </w:r>
          </w:p>
          <w:p w14:paraId="75A00608" w14:textId="77777777" w:rsidR="009248D3" w:rsidRDefault="00000000">
            <w:pPr>
              <w:jc w:val="center"/>
            </w:pPr>
            <w:r>
              <w:rPr>
                <w:rFonts w:ascii="Arial" w:eastAsia="Arial" w:hAnsi="Arial" w:cs="Arial"/>
                <w:color w:val="555555"/>
                <w:sz w:val="18"/>
                <w:szCs w:val="18"/>
              </w:rPr>
              <w:t>Standardised model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14:paraId="171467EE" w14:textId="77777777" w:rsidR="009248D3" w:rsidRDefault="00000000">
            <w:pPr>
              <w:jc w:val="center"/>
            </w:pPr>
            <w:r>
              <w:rPr>
                <w:rFonts w:ascii="Arial" w:eastAsia="Arial" w:hAnsi="Arial" w:cs="Arial"/>
                <w:b/>
                <w:bCs/>
              </w:rPr>
              <w:t>Auto Decision</w:t>
            </w:r>
          </w:p>
          <w:p w14:paraId="04E3D53B" w14:textId="77777777" w:rsidR="009248D3" w:rsidRDefault="00000000">
            <w:pPr>
              <w:jc w:val="center"/>
            </w:pPr>
            <w:r>
              <w:rPr>
                <w:rFonts w:ascii="Arial" w:eastAsia="Arial" w:hAnsi="Arial" w:cs="Arial"/>
                <w:color w:val="555555"/>
                <w:sz w:val="18"/>
                <w:szCs w:val="18"/>
              </w:rPr>
              <w:t>Rules threshold</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14:paraId="3377DBA7" w14:textId="77777777" w:rsidR="009248D3" w:rsidRDefault="00000000">
            <w:pPr>
              <w:jc w:val="center"/>
            </w:pPr>
            <w:r>
              <w:rPr>
                <w:rFonts w:ascii="Arial" w:eastAsia="Arial" w:hAnsi="Arial" w:cs="Arial"/>
                <w:b/>
                <w:bCs/>
              </w:rPr>
              <w:t>Digital Workflow</w:t>
            </w:r>
          </w:p>
          <w:p w14:paraId="18325762" w14:textId="77777777" w:rsidR="009248D3" w:rsidRDefault="00000000">
            <w:pPr>
              <w:jc w:val="center"/>
            </w:pPr>
            <w:r>
              <w:rPr>
                <w:rFonts w:ascii="Arial" w:eastAsia="Arial" w:hAnsi="Arial" w:cs="Arial"/>
                <w:color w:val="555555"/>
                <w:sz w:val="18"/>
                <w:szCs w:val="18"/>
              </w:rPr>
              <w:t>Exception review queue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14:paraId="5E4F098A" w14:textId="77777777" w:rsidR="009248D3" w:rsidRDefault="00000000">
            <w:pPr>
              <w:jc w:val="center"/>
            </w:pPr>
            <w:r>
              <w:rPr>
                <w:rFonts w:ascii="Arial" w:eastAsia="Arial" w:hAnsi="Arial" w:cs="Arial"/>
                <w:b/>
                <w:bCs/>
              </w:rPr>
              <w:t>Instant Notification</w:t>
            </w:r>
          </w:p>
          <w:p w14:paraId="192DE327" w14:textId="77777777" w:rsidR="009248D3" w:rsidRDefault="00000000">
            <w:pPr>
              <w:jc w:val="center"/>
            </w:pPr>
            <w:r>
              <w:rPr>
                <w:rFonts w:ascii="Arial" w:eastAsia="Arial" w:hAnsi="Arial" w:cs="Arial"/>
                <w:color w:val="555555"/>
                <w:sz w:val="18"/>
                <w:szCs w:val="18"/>
              </w:rPr>
              <w:t>App, email, SMS</w:t>
            </w:r>
          </w:p>
        </w:tc>
      </w:tr>
    </w:tbl>
    <w:p w14:paraId="374FC104" w14:textId="77777777" w:rsidR="009248D3" w:rsidRDefault="009248D3">
      <w:pPr>
        <w:spacing w:before="60"/>
      </w:pPr>
    </w:p>
    <w:p w14:paraId="09AC807C" w14:textId="77777777" w:rsidR="009248D3" w:rsidRDefault="009248D3">
      <w:pPr>
        <w:spacing w:before="40"/>
      </w:pPr>
    </w:p>
    <w:p w14:paraId="39C9DA35" w14:textId="77777777" w:rsidR="009248D3" w:rsidRDefault="00000000">
      <w:pPr>
        <w:spacing w:before="60" w:after="60"/>
      </w:pPr>
      <w:r>
        <w:rPr>
          <w:rFonts w:ascii="Arial" w:eastAsia="Arial" w:hAnsi="Arial" w:cs="Arial"/>
          <w:sz w:val="22"/>
          <w:szCs w:val="22"/>
        </w:rPr>
        <w:t>Key improvements in the To-Be process:</w:t>
      </w:r>
    </w:p>
    <w:p w14:paraId="0FC4EFD5" w14:textId="77777777" w:rsidR="009248D3" w:rsidRDefault="00000000">
      <w:pPr>
        <w:pStyle w:val="ListParagraph"/>
        <w:numPr>
          <w:ilvl w:val="0"/>
          <w:numId w:val="2"/>
        </w:numPr>
        <w:spacing w:before="40" w:after="40"/>
      </w:pPr>
      <w:r>
        <w:rPr>
          <w:rFonts w:ascii="Arial" w:eastAsia="Arial" w:hAnsi="Arial" w:cs="Arial"/>
          <w:color w:val="0F6E56"/>
          <w:sz w:val="22"/>
          <w:szCs w:val="22"/>
        </w:rPr>
        <w:t>Digital portal replaces paper — residents apply online 24/7 from any device, in English or French</w:t>
      </w:r>
    </w:p>
    <w:p w14:paraId="11318A49" w14:textId="77777777" w:rsidR="009248D3" w:rsidRDefault="00000000">
      <w:pPr>
        <w:pStyle w:val="ListParagraph"/>
        <w:numPr>
          <w:ilvl w:val="0"/>
          <w:numId w:val="2"/>
        </w:numPr>
        <w:spacing w:before="40" w:after="40"/>
      </w:pPr>
      <w:r>
        <w:rPr>
          <w:rFonts w:ascii="Arial" w:eastAsia="Arial" w:hAnsi="Arial" w:cs="Arial"/>
          <w:color w:val="0F6E56"/>
          <w:sz w:val="22"/>
          <w:szCs w:val="22"/>
        </w:rPr>
        <w:t>Automated document check with real-time checklist eliminates the 40% resubmission loop</w:t>
      </w:r>
    </w:p>
    <w:p w14:paraId="3492C612" w14:textId="77777777" w:rsidR="009248D3" w:rsidRDefault="00000000">
      <w:pPr>
        <w:pStyle w:val="ListParagraph"/>
        <w:numPr>
          <w:ilvl w:val="0"/>
          <w:numId w:val="2"/>
        </w:numPr>
        <w:spacing w:before="40" w:after="40"/>
      </w:pPr>
      <w:r>
        <w:rPr>
          <w:rFonts w:ascii="Arial" w:eastAsia="Arial" w:hAnsi="Arial" w:cs="Arial"/>
          <w:color w:val="0F6E56"/>
          <w:sz w:val="22"/>
          <w:szCs w:val="22"/>
        </w:rPr>
        <w:t>Live bureau API replaces manual credit pull — faster, consistent, auditable</w:t>
      </w:r>
    </w:p>
    <w:p w14:paraId="7DC5792D" w14:textId="77777777" w:rsidR="009248D3" w:rsidRDefault="00000000">
      <w:pPr>
        <w:pStyle w:val="ListParagraph"/>
        <w:numPr>
          <w:ilvl w:val="0"/>
          <w:numId w:val="2"/>
        </w:numPr>
        <w:spacing w:before="40" w:after="40"/>
      </w:pPr>
      <w:r>
        <w:rPr>
          <w:rFonts w:ascii="Arial" w:eastAsia="Arial" w:hAnsi="Arial" w:cs="Arial"/>
          <w:color w:val="0F6E56"/>
          <w:sz w:val="22"/>
          <w:szCs w:val="22"/>
        </w:rPr>
        <w:t>Standardised ML scoring engine eliminates analyst inconsistency — compliance-ready</w:t>
      </w:r>
    </w:p>
    <w:p w14:paraId="1BC6AEFB" w14:textId="77777777" w:rsidR="009248D3" w:rsidRDefault="00000000">
      <w:pPr>
        <w:pStyle w:val="ListParagraph"/>
        <w:numPr>
          <w:ilvl w:val="0"/>
          <w:numId w:val="2"/>
        </w:numPr>
        <w:spacing w:before="40" w:after="40"/>
      </w:pPr>
      <w:r>
        <w:rPr>
          <w:rFonts w:ascii="Arial" w:eastAsia="Arial" w:hAnsi="Arial" w:cs="Arial"/>
          <w:color w:val="0F6E56"/>
          <w:sz w:val="22"/>
          <w:szCs w:val="22"/>
        </w:rPr>
        <w:t>70% of applications auto-decisioned in under 2 hours — no human touchpoint needed</w:t>
      </w:r>
    </w:p>
    <w:p w14:paraId="3033A1EF" w14:textId="77777777" w:rsidR="009248D3" w:rsidRDefault="00000000">
      <w:pPr>
        <w:pStyle w:val="ListParagraph"/>
        <w:numPr>
          <w:ilvl w:val="0"/>
          <w:numId w:val="2"/>
        </w:numPr>
        <w:spacing w:before="40" w:after="40"/>
      </w:pPr>
      <w:r>
        <w:rPr>
          <w:rFonts w:ascii="Arial" w:eastAsia="Arial" w:hAnsi="Arial" w:cs="Arial"/>
          <w:color w:val="0F6E56"/>
          <w:sz w:val="22"/>
          <w:szCs w:val="22"/>
        </w:rPr>
        <w:t>Remaining 30% routed to analyst queue with a 2 business day SLA</w:t>
      </w:r>
    </w:p>
    <w:p w14:paraId="47D823FE" w14:textId="77777777" w:rsidR="009248D3" w:rsidRDefault="00000000">
      <w:pPr>
        <w:pStyle w:val="ListParagraph"/>
        <w:numPr>
          <w:ilvl w:val="0"/>
          <w:numId w:val="2"/>
        </w:numPr>
        <w:spacing w:before="40" w:after="40"/>
      </w:pPr>
      <w:r>
        <w:rPr>
          <w:rFonts w:ascii="Arial" w:eastAsia="Arial" w:hAnsi="Arial" w:cs="Arial"/>
          <w:color w:val="0F6E56"/>
          <w:sz w:val="22"/>
          <w:szCs w:val="22"/>
        </w:rPr>
        <w:t>Decision delivered instantly via app, email, and SMS — no postal wait</w:t>
      </w:r>
    </w:p>
    <w:p w14:paraId="49E99CC4" w14:textId="77777777" w:rsidR="009248D3" w:rsidRDefault="00000000">
      <w:pPr>
        <w:pStyle w:val="ListParagraph"/>
        <w:numPr>
          <w:ilvl w:val="0"/>
          <w:numId w:val="2"/>
        </w:numPr>
        <w:spacing w:before="40" w:after="40"/>
      </w:pPr>
      <w:r>
        <w:rPr>
          <w:rFonts w:ascii="Arial" w:eastAsia="Arial" w:hAnsi="Arial" w:cs="Arial"/>
          <w:color w:val="0F6E56"/>
          <w:sz w:val="22"/>
          <w:szCs w:val="22"/>
        </w:rPr>
        <w:t>Target cycle time: 3–5 business days (down from 18–22)</w:t>
      </w:r>
    </w:p>
    <w:p w14:paraId="222FEEB6" w14:textId="77777777" w:rsidR="009248D3" w:rsidRDefault="009248D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8755"/>
      </w:tblGrid>
      <w:tr w:rsidR="009248D3" w14:paraId="6192B6F8" w14:textId="77777777">
        <w:tblPrEx>
          <w:tblCellMar>
            <w:top w:w="0" w:type="dxa"/>
            <w:bottom w:w="0" w:type="dxa"/>
          </w:tblCellMar>
        </w:tblPrEx>
        <w:tc>
          <w:tcPr>
            <w:tcW w:w="220" w:type="dxa"/>
            <w:tcBorders>
              <w:top w:val="single" w:sz="1" w:space="0" w:color="CCCCCC"/>
              <w:left w:val="single" w:sz="1" w:space="0" w:color="CCCCCC"/>
              <w:bottom w:val="single" w:sz="1" w:space="0" w:color="CCCCCC"/>
              <w:right w:val="single" w:sz="1" w:space="0" w:color="CCCCCC"/>
            </w:tcBorders>
            <w:shd w:val="clear" w:color="auto" w:fill="EF9F27"/>
            <w:tcMar>
              <w:top w:w="80" w:type="dxa"/>
              <w:left w:w="80" w:type="dxa"/>
              <w:bottom w:w="80" w:type="dxa"/>
              <w:right w:w="80" w:type="dxa"/>
            </w:tcMar>
            <w:vAlign w:val="center"/>
          </w:tcPr>
          <w:p w14:paraId="23E577FD" w14:textId="77777777" w:rsidR="009248D3" w:rsidRDefault="00000000">
            <w:pPr>
              <w:jc w:val="center"/>
            </w:pPr>
            <w:r>
              <w:rPr>
                <w:rFonts w:ascii="Arial" w:eastAsia="Arial" w:hAnsi="Arial" w:cs="Arial"/>
                <w:b/>
                <w:bCs/>
                <w:color w:val="FFFFFF"/>
                <w:sz w:val="16"/>
                <w:szCs w:val="16"/>
              </w:rPr>
              <w:t>BA NOTE</w:t>
            </w:r>
          </w:p>
        </w:tc>
        <w:tc>
          <w:tcPr>
            <w:tcW w:w="9140" w:type="dxa"/>
            <w:tcBorders>
              <w:top w:val="single" w:sz="1" w:space="0" w:color="CCCCCC"/>
              <w:left w:val="single" w:sz="1" w:space="0" w:color="CCCCCC"/>
              <w:bottom w:val="single" w:sz="1" w:space="0" w:color="CCCCCC"/>
              <w:right w:val="single" w:sz="1" w:space="0" w:color="CCCCCC"/>
            </w:tcBorders>
            <w:shd w:val="clear" w:color="auto" w:fill="FEF3DC"/>
            <w:tcMar>
              <w:top w:w="80" w:type="dxa"/>
              <w:left w:w="120" w:type="dxa"/>
              <w:bottom w:w="80" w:type="dxa"/>
              <w:right w:w="120" w:type="dxa"/>
            </w:tcMar>
          </w:tcPr>
          <w:p w14:paraId="3538DD68" w14:textId="77777777" w:rsidR="009248D3" w:rsidRDefault="00000000">
            <w:r>
              <w:rPr>
                <w:rFonts w:ascii="Arial" w:eastAsia="Arial" w:hAnsi="Arial" w:cs="Arial"/>
                <w:i/>
                <w:iCs/>
                <w:color w:val="633806"/>
              </w:rPr>
              <w:t>The To-Be map should always trace back directly to the business objectives in the Project Charter. Every improvement here links to a KPI defined in Phase 1. That traceability — from problem to objective to process change — is what makes a BA's work defensible.</w:t>
            </w:r>
          </w:p>
        </w:tc>
      </w:tr>
    </w:tbl>
    <w:p w14:paraId="54824047" w14:textId="77777777" w:rsidR="009248D3" w:rsidRDefault="009248D3">
      <w:pPr>
        <w:spacing w:before="120"/>
      </w:pPr>
    </w:p>
    <w:p w14:paraId="23E8CB1F" w14:textId="77777777" w:rsidR="009248D3" w:rsidRDefault="00000000">
      <w:pPr>
        <w:pBdr>
          <w:bottom w:val="single" w:sz="8" w:space="4" w:color="1A3C6E"/>
        </w:pBdr>
        <w:spacing w:before="320" w:after="160"/>
      </w:pPr>
      <w:r>
        <w:rPr>
          <w:rFonts w:ascii="Arial" w:eastAsia="Arial" w:hAnsi="Arial" w:cs="Arial"/>
          <w:b/>
          <w:bCs/>
          <w:color w:val="1A3C6E"/>
          <w:sz w:val="32"/>
          <w:szCs w:val="32"/>
        </w:rPr>
        <w:t>4. Gap Analysis</w:t>
      </w:r>
    </w:p>
    <w:p w14:paraId="34C52A3F" w14:textId="77777777" w:rsidR="009248D3" w:rsidRDefault="00000000">
      <w:pPr>
        <w:spacing w:before="60" w:after="60"/>
      </w:pPr>
      <w:r>
        <w:rPr>
          <w:rFonts w:ascii="Arial" w:eastAsia="Arial" w:hAnsi="Arial" w:cs="Arial"/>
          <w:sz w:val="22"/>
          <w:szCs w:val="22"/>
        </w:rPr>
        <w:t>The gap analysis documents every specific change required to move from the As-Is state to the To-Be state. Each gap is prioritised using MoSCoW: Must Have (project fails without it), Should Have (important but not critical for launch), Could Have (nice to have), Won't Have (explicitly excluded).</w:t>
      </w:r>
    </w:p>
    <w:p w14:paraId="0AF27F64" w14:textId="77777777" w:rsidR="009248D3" w:rsidRDefault="009248D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800"/>
        <w:gridCol w:w="1400"/>
        <w:gridCol w:w="1760"/>
      </w:tblGrid>
      <w:tr w:rsidR="009248D3" w14:paraId="6C9DFE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00" w:type="dxa"/>
              <w:bottom w:w="80" w:type="dxa"/>
              <w:right w:w="100" w:type="dxa"/>
            </w:tcMar>
          </w:tcPr>
          <w:p w14:paraId="140DE444" w14:textId="77777777" w:rsidR="009248D3" w:rsidRDefault="00000000">
            <w:r>
              <w:rPr>
                <w:rFonts w:ascii="Arial" w:eastAsia="Arial" w:hAnsi="Arial" w:cs="Arial"/>
                <w:b/>
                <w:bCs/>
                <w:color w:val="FFFFFF"/>
              </w:rPr>
              <w:t>Pain Point (As-Is)</w:t>
            </w:r>
          </w:p>
        </w:tc>
        <w:tc>
          <w:tcPr>
            <w:tcW w:w="22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00" w:type="dxa"/>
              <w:bottom w:w="80" w:type="dxa"/>
              <w:right w:w="100" w:type="dxa"/>
            </w:tcMar>
          </w:tcPr>
          <w:p w14:paraId="73FABC5F" w14:textId="77777777" w:rsidR="009248D3" w:rsidRDefault="00000000">
            <w:r>
              <w:rPr>
                <w:rFonts w:ascii="Arial" w:eastAsia="Arial" w:hAnsi="Arial" w:cs="Arial"/>
                <w:b/>
                <w:bCs/>
                <w:color w:val="FFFFFF"/>
              </w:rPr>
              <w:t>Future State (To-Be)</w:t>
            </w:r>
          </w:p>
        </w:tc>
        <w:tc>
          <w:tcPr>
            <w:tcW w:w="18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00" w:type="dxa"/>
              <w:bottom w:w="80" w:type="dxa"/>
              <w:right w:w="100" w:type="dxa"/>
            </w:tcMar>
          </w:tcPr>
          <w:p w14:paraId="75198723" w14:textId="77777777" w:rsidR="009248D3" w:rsidRDefault="00000000">
            <w:r>
              <w:rPr>
                <w:rFonts w:ascii="Arial" w:eastAsia="Arial" w:hAnsi="Arial" w:cs="Arial"/>
                <w:b/>
                <w:bCs/>
                <w:color w:val="FFFFFF"/>
              </w:rPr>
              <w:t>Impact</w:t>
            </w:r>
          </w:p>
        </w:tc>
        <w:tc>
          <w:tcPr>
            <w:tcW w:w="14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00" w:type="dxa"/>
              <w:bottom w:w="80" w:type="dxa"/>
              <w:right w:w="100" w:type="dxa"/>
            </w:tcMar>
          </w:tcPr>
          <w:p w14:paraId="6F624904" w14:textId="77777777" w:rsidR="009248D3" w:rsidRDefault="00000000">
            <w:r>
              <w:rPr>
                <w:rFonts w:ascii="Arial" w:eastAsia="Arial" w:hAnsi="Arial" w:cs="Arial"/>
                <w:b/>
                <w:bCs/>
                <w:color w:val="FFFFFF"/>
              </w:rPr>
              <w:t>Priority</w:t>
            </w:r>
          </w:p>
        </w:tc>
        <w:tc>
          <w:tcPr>
            <w:tcW w:w="17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00" w:type="dxa"/>
              <w:bottom w:w="80" w:type="dxa"/>
              <w:right w:w="100" w:type="dxa"/>
            </w:tcMar>
          </w:tcPr>
          <w:p w14:paraId="28980FAC" w14:textId="77777777" w:rsidR="009248D3" w:rsidRDefault="00000000">
            <w:r>
              <w:rPr>
                <w:rFonts w:ascii="Arial" w:eastAsia="Arial" w:hAnsi="Arial" w:cs="Arial"/>
                <w:b/>
                <w:bCs/>
                <w:color w:val="FFFFFF"/>
              </w:rPr>
              <w:t>Owner</w:t>
            </w:r>
          </w:p>
        </w:tc>
      </w:tr>
      <w:tr w:rsidR="009248D3" w14:paraId="1C84B3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43ECC86" w14:textId="77777777" w:rsidR="009248D3" w:rsidRDefault="00000000">
            <w:r>
              <w:rPr>
                <w:rFonts w:ascii="Arial" w:eastAsia="Arial" w:hAnsi="Arial" w:cs="Arial"/>
                <w:color w:val="222222"/>
              </w:rPr>
              <w:t>Paper-only application — branch or mail</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838D65E" w14:textId="77777777" w:rsidR="009248D3" w:rsidRDefault="00000000">
            <w:r>
              <w:rPr>
                <w:rFonts w:ascii="Arial" w:eastAsia="Arial" w:hAnsi="Arial" w:cs="Arial"/>
                <w:color w:val="222222"/>
              </w:rPr>
              <w:t>Digital portal: web + mobile, 24/7 access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784BC00" w14:textId="77777777" w:rsidR="009248D3" w:rsidRDefault="00000000">
            <w:r>
              <w:rPr>
                <w:rFonts w:ascii="Arial" w:eastAsia="Arial" w:hAnsi="Arial" w:cs="Arial"/>
                <w:color w:val="222222"/>
              </w:rPr>
              <w:t>High</w:t>
            </w:r>
          </w:p>
        </w:tc>
        <w:tc>
          <w:tcPr>
            <w:tcW w:w="14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00" w:type="dxa"/>
              <w:bottom w:w="80" w:type="dxa"/>
              <w:right w:w="100" w:type="dxa"/>
            </w:tcMar>
          </w:tcPr>
          <w:p w14:paraId="7A2D1C8B" w14:textId="77777777" w:rsidR="009248D3" w:rsidRDefault="00000000">
            <w:pPr>
              <w:jc w:val="center"/>
            </w:pPr>
            <w:r>
              <w:rPr>
                <w:rFonts w:ascii="Arial" w:eastAsia="Arial" w:hAnsi="Arial" w:cs="Arial"/>
                <w:b/>
                <w:bCs/>
                <w:color w:val="8B1A1A"/>
              </w:rPr>
              <w:t>Must Have</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FAD0AD1" w14:textId="77777777" w:rsidR="009248D3" w:rsidRDefault="00000000">
            <w:r>
              <w:rPr>
                <w:rFonts w:ascii="Arial" w:eastAsia="Arial" w:hAnsi="Arial" w:cs="Arial"/>
                <w:color w:val="222222"/>
              </w:rPr>
              <w:t>Ontario Digital Service</w:t>
            </w:r>
          </w:p>
        </w:tc>
      </w:tr>
      <w:tr w:rsidR="009248D3" w14:paraId="36462A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9E2D766" w14:textId="77777777" w:rsidR="009248D3" w:rsidRDefault="00000000">
            <w:r>
              <w:rPr>
                <w:rFonts w:ascii="Arial" w:eastAsia="Arial" w:hAnsi="Arial" w:cs="Arial"/>
                <w:color w:val="222222"/>
              </w:rPr>
              <w:t>Manual data re-entry by ops staff</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E6E363F" w14:textId="77777777" w:rsidR="009248D3" w:rsidRDefault="00000000">
            <w:r>
              <w:rPr>
                <w:rFonts w:ascii="Arial" w:eastAsia="Arial" w:hAnsi="Arial" w:cs="Arial"/>
                <w:color w:val="222222"/>
              </w:rPr>
              <w:t>API-based digital intake — no re-keying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524190D" w14:textId="77777777" w:rsidR="009248D3" w:rsidRDefault="00000000">
            <w:r>
              <w:rPr>
                <w:rFonts w:ascii="Arial" w:eastAsia="Arial" w:hAnsi="Arial" w:cs="Arial"/>
                <w:color w:val="222222"/>
              </w:rPr>
              <w:t>High</w:t>
            </w:r>
          </w:p>
        </w:tc>
        <w:tc>
          <w:tcPr>
            <w:tcW w:w="14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00" w:type="dxa"/>
              <w:bottom w:w="80" w:type="dxa"/>
              <w:right w:w="100" w:type="dxa"/>
            </w:tcMar>
          </w:tcPr>
          <w:p w14:paraId="34E205D4" w14:textId="77777777" w:rsidR="009248D3" w:rsidRDefault="00000000">
            <w:pPr>
              <w:jc w:val="center"/>
            </w:pPr>
            <w:r>
              <w:rPr>
                <w:rFonts w:ascii="Arial" w:eastAsia="Arial" w:hAnsi="Arial" w:cs="Arial"/>
                <w:b/>
                <w:bCs/>
                <w:color w:val="8B1A1A"/>
              </w:rPr>
              <w:t>Must Have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E066464" w14:textId="77777777" w:rsidR="009248D3" w:rsidRDefault="00000000">
            <w:r>
              <w:rPr>
                <w:rFonts w:ascii="Arial" w:eastAsia="Arial" w:hAnsi="Arial" w:cs="Arial"/>
                <w:color w:val="222222"/>
              </w:rPr>
              <w:t>IT / ODS</w:t>
            </w:r>
          </w:p>
        </w:tc>
      </w:tr>
      <w:tr w:rsidR="009248D3" w14:paraId="312076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CC6C58D" w14:textId="77777777" w:rsidR="009248D3" w:rsidRDefault="00000000">
            <w:r>
              <w:rPr>
                <w:rFonts w:ascii="Arial" w:eastAsia="Arial" w:hAnsi="Arial" w:cs="Arial"/>
                <w:color w:val="222222"/>
              </w:rPr>
              <w:t>40% of applications returned incomplete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09593DB" w14:textId="77777777" w:rsidR="009248D3" w:rsidRDefault="00000000">
            <w:r>
              <w:rPr>
                <w:rFonts w:ascii="Arial" w:eastAsia="Arial" w:hAnsi="Arial" w:cs="Arial"/>
                <w:color w:val="222222"/>
              </w:rPr>
              <w:t>Real-time document checklist + instant alert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5560608" w14:textId="77777777" w:rsidR="009248D3" w:rsidRDefault="00000000">
            <w:r>
              <w:rPr>
                <w:rFonts w:ascii="Arial" w:eastAsia="Arial" w:hAnsi="Arial" w:cs="Arial"/>
                <w:color w:val="222222"/>
              </w:rPr>
              <w:t>High</w:t>
            </w:r>
          </w:p>
        </w:tc>
        <w:tc>
          <w:tcPr>
            <w:tcW w:w="14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00" w:type="dxa"/>
              <w:bottom w:w="80" w:type="dxa"/>
              <w:right w:w="100" w:type="dxa"/>
            </w:tcMar>
          </w:tcPr>
          <w:p w14:paraId="00325A12" w14:textId="77777777" w:rsidR="009248D3" w:rsidRDefault="00000000">
            <w:pPr>
              <w:jc w:val="center"/>
            </w:pPr>
            <w:r>
              <w:rPr>
                <w:rFonts w:ascii="Arial" w:eastAsia="Arial" w:hAnsi="Arial" w:cs="Arial"/>
                <w:b/>
                <w:bCs/>
                <w:color w:val="8B1A1A"/>
              </w:rPr>
              <w:t>Must Have</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6B60D14" w14:textId="77777777" w:rsidR="009248D3" w:rsidRDefault="00000000">
            <w:r>
              <w:rPr>
                <w:rFonts w:ascii="Arial" w:eastAsia="Arial" w:hAnsi="Arial" w:cs="Arial"/>
                <w:color w:val="222222"/>
              </w:rPr>
              <w:t>ServiceOntario Ops</w:t>
            </w:r>
          </w:p>
        </w:tc>
      </w:tr>
      <w:tr w:rsidR="009248D3" w14:paraId="4A515A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55C065D" w14:textId="77777777" w:rsidR="009248D3" w:rsidRDefault="00000000">
            <w:r>
              <w:rPr>
                <w:rFonts w:ascii="Arial" w:eastAsia="Arial" w:hAnsi="Arial" w:cs="Arial"/>
                <w:color w:val="222222"/>
              </w:rPr>
              <w:t>Manual credit bureau pull (per analyst)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66CFD3E" w14:textId="77777777" w:rsidR="009248D3" w:rsidRDefault="00000000">
            <w:r>
              <w:rPr>
                <w:rFonts w:ascii="Arial" w:eastAsia="Arial" w:hAnsi="Arial" w:cs="Arial"/>
                <w:color w:val="222222"/>
              </w:rPr>
              <w:t>Automated live bureau API integration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E3C1D19" w14:textId="77777777" w:rsidR="009248D3" w:rsidRDefault="00000000">
            <w:r>
              <w:rPr>
                <w:rFonts w:ascii="Arial" w:eastAsia="Arial" w:hAnsi="Arial" w:cs="Arial"/>
                <w:color w:val="222222"/>
              </w:rPr>
              <w:t>High</w:t>
            </w:r>
          </w:p>
        </w:tc>
        <w:tc>
          <w:tcPr>
            <w:tcW w:w="14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00" w:type="dxa"/>
              <w:bottom w:w="80" w:type="dxa"/>
              <w:right w:w="100" w:type="dxa"/>
            </w:tcMar>
          </w:tcPr>
          <w:p w14:paraId="73351F5F" w14:textId="77777777" w:rsidR="009248D3" w:rsidRDefault="00000000">
            <w:pPr>
              <w:jc w:val="center"/>
            </w:pPr>
            <w:r>
              <w:rPr>
                <w:rFonts w:ascii="Arial" w:eastAsia="Arial" w:hAnsi="Arial" w:cs="Arial"/>
                <w:b/>
                <w:bCs/>
                <w:color w:val="8B1A1A"/>
              </w:rPr>
              <w:t>Must Have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80170CD" w14:textId="77777777" w:rsidR="009248D3" w:rsidRDefault="00000000">
            <w:r>
              <w:rPr>
                <w:rFonts w:ascii="Arial" w:eastAsia="Arial" w:hAnsi="Arial" w:cs="Arial"/>
                <w:color w:val="222222"/>
              </w:rPr>
              <w:t>IT / Credit Systems</w:t>
            </w:r>
          </w:p>
        </w:tc>
      </w:tr>
      <w:tr w:rsidR="009248D3" w14:paraId="5B8181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E189E51" w14:textId="77777777" w:rsidR="009248D3" w:rsidRDefault="00000000">
            <w:r>
              <w:rPr>
                <w:rFonts w:ascii="Arial" w:eastAsia="Arial" w:hAnsi="Arial" w:cs="Arial"/>
                <w:color w:val="222222"/>
              </w:rPr>
              <w:t>Inconsistent scoring across analysts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17E59D4" w14:textId="77777777" w:rsidR="009248D3" w:rsidRDefault="00000000">
            <w:r>
              <w:rPr>
                <w:rFonts w:ascii="Arial" w:eastAsia="Arial" w:hAnsi="Arial" w:cs="Arial"/>
                <w:color w:val="222222"/>
              </w:rPr>
              <w:t>Standardised ML/rules-based scoring engine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748C9AB" w14:textId="77777777" w:rsidR="009248D3" w:rsidRDefault="00000000">
            <w:r>
              <w:rPr>
                <w:rFonts w:ascii="Arial" w:eastAsia="Arial" w:hAnsi="Arial" w:cs="Arial"/>
                <w:color w:val="222222"/>
              </w:rPr>
              <w:t>Medium</w:t>
            </w:r>
          </w:p>
        </w:tc>
        <w:tc>
          <w:tcPr>
            <w:tcW w:w="1400" w:type="dxa"/>
            <w:tcBorders>
              <w:top w:val="single" w:sz="1" w:space="0" w:color="CCCCCC"/>
              <w:left w:val="single" w:sz="1" w:space="0" w:color="CCCCCC"/>
              <w:bottom w:val="single" w:sz="1" w:space="0" w:color="CCCCCC"/>
              <w:right w:val="single" w:sz="1" w:space="0" w:color="CCCCCC"/>
            </w:tcBorders>
            <w:shd w:val="clear" w:color="auto" w:fill="FEF3DC"/>
            <w:tcMar>
              <w:top w:w="80" w:type="dxa"/>
              <w:left w:w="100" w:type="dxa"/>
              <w:bottom w:w="80" w:type="dxa"/>
              <w:right w:w="100" w:type="dxa"/>
            </w:tcMar>
          </w:tcPr>
          <w:p w14:paraId="6E6D930A" w14:textId="77777777" w:rsidR="009248D3" w:rsidRDefault="00000000">
            <w:pPr>
              <w:jc w:val="center"/>
            </w:pPr>
            <w:r>
              <w:rPr>
                <w:rFonts w:ascii="Arial" w:eastAsia="Arial" w:hAnsi="Arial" w:cs="Arial"/>
                <w:b/>
                <w:bCs/>
                <w:color w:val="633806"/>
              </w:rPr>
              <w:t>Should Have</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CAEDDD7" w14:textId="77777777" w:rsidR="009248D3" w:rsidRDefault="00000000">
            <w:r>
              <w:rPr>
                <w:rFonts w:ascii="Arial" w:eastAsia="Arial" w:hAnsi="Arial" w:cs="Arial"/>
                <w:color w:val="222222"/>
              </w:rPr>
              <w:t>Risk &amp; Compliance</w:t>
            </w:r>
          </w:p>
        </w:tc>
      </w:tr>
      <w:tr w:rsidR="009248D3" w14:paraId="52A71B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23F05F7" w14:textId="77777777" w:rsidR="009248D3" w:rsidRDefault="00000000">
            <w:r>
              <w:rPr>
                <w:rFonts w:ascii="Arial" w:eastAsia="Arial" w:hAnsi="Arial" w:cs="Arial"/>
                <w:color w:val="222222"/>
              </w:rPr>
              <w:t>Paper manager sign-off required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6D49F36" w14:textId="77777777" w:rsidR="009248D3" w:rsidRDefault="00000000">
            <w:r>
              <w:rPr>
                <w:rFonts w:ascii="Arial" w:eastAsia="Arial" w:hAnsi="Arial" w:cs="Arial"/>
                <w:color w:val="222222"/>
              </w:rPr>
              <w:t>Digital approval workflow with audit trail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5ECA338" w14:textId="77777777" w:rsidR="009248D3" w:rsidRDefault="00000000">
            <w:r>
              <w:rPr>
                <w:rFonts w:ascii="Arial" w:eastAsia="Arial" w:hAnsi="Arial" w:cs="Arial"/>
                <w:color w:val="222222"/>
              </w:rPr>
              <w:t>Medium</w:t>
            </w:r>
          </w:p>
        </w:tc>
        <w:tc>
          <w:tcPr>
            <w:tcW w:w="1400" w:type="dxa"/>
            <w:tcBorders>
              <w:top w:val="single" w:sz="1" w:space="0" w:color="CCCCCC"/>
              <w:left w:val="single" w:sz="1" w:space="0" w:color="CCCCCC"/>
              <w:bottom w:val="single" w:sz="1" w:space="0" w:color="CCCCCC"/>
              <w:right w:val="single" w:sz="1" w:space="0" w:color="CCCCCC"/>
            </w:tcBorders>
            <w:shd w:val="clear" w:color="auto" w:fill="FEF3DC"/>
            <w:tcMar>
              <w:top w:w="80" w:type="dxa"/>
              <w:left w:w="100" w:type="dxa"/>
              <w:bottom w:w="80" w:type="dxa"/>
              <w:right w:w="100" w:type="dxa"/>
            </w:tcMar>
          </w:tcPr>
          <w:p w14:paraId="123E9BEC" w14:textId="77777777" w:rsidR="009248D3" w:rsidRDefault="00000000">
            <w:pPr>
              <w:jc w:val="center"/>
            </w:pPr>
            <w:r>
              <w:rPr>
                <w:rFonts w:ascii="Arial" w:eastAsia="Arial" w:hAnsi="Arial" w:cs="Arial"/>
                <w:b/>
                <w:bCs/>
                <w:color w:val="633806"/>
              </w:rPr>
              <w:t>Should Have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F07AE3" w14:textId="77777777" w:rsidR="009248D3" w:rsidRDefault="00000000">
            <w:r>
              <w:rPr>
                <w:rFonts w:ascii="Arial" w:eastAsia="Arial" w:hAnsi="Arial" w:cs="Arial"/>
                <w:color w:val="222222"/>
              </w:rPr>
              <w:t>ServiceOntario Ops</w:t>
            </w:r>
          </w:p>
        </w:tc>
      </w:tr>
      <w:tr w:rsidR="009248D3" w14:paraId="3C2534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FCD3659" w14:textId="77777777" w:rsidR="009248D3" w:rsidRDefault="00000000">
            <w:r>
              <w:rPr>
                <w:rFonts w:ascii="Arial" w:eastAsia="Arial" w:hAnsi="Arial" w:cs="Arial"/>
                <w:color w:val="222222"/>
              </w:rPr>
              <w:lastRenderedPageBreak/>
              <w:t>Decision communicated by post (3–5 days)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EAAD4D7" w14:textId="77777777" w:rsidR="009248D3" w:rsidRDefault="00000000">
            <w:r>
              <w:rPr>
                <w:rFonts w:ascii="Arial" w:eastAsia="Arial" w:hAnsi="Arial" w:cs="Arial"/>
                <w:color w:val="222222"/>
              </w:rPr>
              <w:t>Instant decision via app, email, and SMS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AB41425" w14:textId="77777777" w:rsidR="009248D3" w:rsidRDefault="00000000">
            <w:r>
              <w:rPr>
                <w:rFonts w:ascii="Arial" w:eastAsia="Arial" w:hAnsi="Arial" w:cs="Arial"/>
                <w:color w:val="222222"/>
              </w:rPr>
              <w:t>Medium</w:t>
            </w:r>
          </w:p>
        </w:tc>
        <w:tc>
          <w:tcPr>
            <w:tcW w:w="1400" w:type="dxa"/>
            <w:tcBorders>
              <w:top w:val="single" w:sz="1" w:space="0" w:color="CCCCCC"/>
              <w:left w:val="single" w:sz="1" w:space="0" w:color="CCCCCC"/>
              <w:bottom w:val="single" w:sz="1" w:space="0" w:color="CCCCCC"/>
              <w:right w:val="single" w:sz="1" w:space="0" w:color="CCCCCC"/>
            </w:tcBorders>
            <w:shd w:val="clear" w:color="auto" w:fill="FEF3DC"/>
            <w:tcMar>
              <w:top w:w="80" w:type="dxa"/>
              <w:left w:w="100" w:type="dxa"/>
              <w:bottom w:w="80" w:type="dxa"/>
              <w:right w:w="100" w:type="dxa"/>
            </w:tcMar>
          </w:tcPr>
          <w:p w14:paraId="1975B9B1" w14:textId="77777777" w:rsidR="009248D3" w:rsidRDefault="00000000">
            <w:pPr>
              <w:jc w:val="center"/>
            </w:pPr>
            <w:r>
              <w:rPr>
                <w:rFonts w:ascii="Arial" w:eastAsia="Arial" w:hAnsi="Arial" w:cs="Arial"/>
                <w:b/>
                <w:bCs/>
                <w:color w:val="633806"/>
              </w:rPr>
              <w:t>Should Have</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4618481" w14:textId="77777777" w:rsidR="009248D3" w:rsidRDefault="00000000">
            <w:r>
              <w:rPr>
                <w:rFonts w:ascii="Arial" w:eastAsia="Arial" w:hAnsi="Arial" w:cs="Arial"/>
                <w:color w:val="222222"/>
              </w:rPr>
              <w:t>IT / Comms</w:t>
            </w:r>
          </w:p>
        </w:tc>
      </w:tr>
      <w:tr w:rsidR="009248D3" w14:paraId="163E9A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A5A6669" w14:textId="77777777" w:rsidR="009248D3" w:rsidRDefault="00000000">
            <w:r>
              <w:rPr>
                <w:rFonts w:ascii="Arial" w:eastAsia="Arial" w:hAnsi="Arial" w:cs="Arial"/>
                <w:color w:val="222222"/>
              </w:rPr>
              <w:t>No French-language digital option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917B849" w14:textId="77777777" w:rsidR="009248D3" w:rsidRDefault="00000000">
            <w:r>
              <w:rPr>
                <w:rFonts w:ascii="Arial" w:eastAsia="Arial" w:hAnsi="Arial" w:cs="Arial"/>
                <w:color w:val="222222"/>
              </w:rPr>
              <w:t>Bilingual portal (EN/FR) from day one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E05C953" w14:textId="77777777" w:rsidR="009248D3" w:rsidRDefault="00000000">
            <w:r>
              <w:rPr>
                <w:rFonts w:ascii="Arial" w:eastAsia="Arial" w:hAnsi="Arial" w:cs="Arial"/>
                <w:color w:val="222222"/>
              </w:rPr>
              <w:t>High</w:t>
            </w:r>
          </w:p>
        </w:tc>
        <w:tc>
          <w:tcPr>
            <w:tcW w:w="14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00" w:type="dxa"/>
              <w:bottom w:w="80" w:type="dxa"/>
              <w:right w:w="100" w:type="dxa"/>
            </w:tcMar>
          </w:tcPr>
          <w:p w14:paraId="5F0931EB" w14:textId="77777777" w:rsidR="009248D3" w:rsidRDefault="00000000">
            <w:pPr>
              <w:jc w:val="center"/>
            </w:pPr>
            <w:r>
              <w:rPr>
                <w:rFonts w:ascii="Arial" w:eastAsia="Arial" w:hAnsi="Arial" w:cs="Arial"/>
                <w:b/>
                <w:bCs/>
                <w:color w:val="8B1A1A"/>
              </w:rPr>
              <w:t>Must Have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ECCEA1F" w14:textId="77777777" w:rsidR="009248D3" w:rsidRDefault="00000000">
            <w:r>
              <w:rPr>
                <w:rFonts w:ascii="Arial" w:eastAsia="Arial" w:hAnsi="Arial" w:cs="Arial"/>
                <w:color w:val="222222"/>
              </w:rPr>
              <w:t>ODS / Legal</w:t>
            </w:r>
          </w:p>
        </w:tc>
      </w:tr>
      <w:tr w:rsidR="009248D3" w14:paraId="2173BB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AC2A7F6" w14:textId="77777777" w:rsidR="009248D3" w:rsidRDefault="00000000">
            <w:r>
              <w:rPr>
                <w:rFonts w:ascii="Arial" w:eastAsia="Arial" w:hAnsi="Arial" w:cs="Arial"/>
                <w:color w:val="222222"/>
              </w:rPr>
              <w:t>No accessibility-compliant digital channel</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8B272C5" w14:textId="77777777" w:rsidR="009248D3" w:rsidRDefault="00000000">
            <w:r>
              <w:rPr>
                <w:rFonts w:ascii="Arial" w:eastAsia="Arial" w:hAnsi="Arial" w:cs="Arial"/>
                <w:color w:val="222222"/>
              </w:rPr>
              <w:t>AODA-compliant interface with screen reader support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0E9A059" w14:textId="77777777" w:rsidR="009248D3" w:rsidRDefault="00000000">
            <w:r>
              <w:rPr>
                <w:rFonts w:ascii="Arial" w:eastAsia="Arial" w:hAnsi="Arial" w:cs="Arial"/>
                <w:color w:val="222222"/>
              </w:rPr>
              <w:t>High</w:t>
            </w:r>
          </w:p>
        </w:tc>
        <w:tc>
          <w:tcPr>
            <w:tcW w:w="14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00" w:type="dxa"/>
              <w:bottom w:w="80" w:type="dxa"/>
              <w:right w:w="100" w:type="dxa"/>
            </w:tcMar>
          </w:tcPr>
          <w:p w14:paraId="6DB93352" w14:textId="77777777" w:rsidR="009248D3" w:rsidRDefault="00000000">
            <w:pPr>
              <w:jc w:val="center"/>
            </w:pPr>
            <w:r>
              <w:rPr>
                <w:rFonts w:ascii="Arial" w:eastAsia="Arial" w:hAnsi="Arial" w:cs="Arial"/>
                <w:b/>
                <w:bCs/>
                <w:color w:val="8B1A1A"/>
              </w:rPr>
              <w:t>Must Have</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4F2CB72" w14:textId="77777777" w:rsidR="009248D3" w:rsidRDefault="00000000">
            <w:r>
              <w:rPr>
                <w:rFonts w:ascii="Arial" w:eastAsia="Arial" w:hAnsi="Arial" w:cs="Arial"/>
                <w:color w:val="222222"/>
              </w:rPr>
              <w:t>AODA Advisor</w:t>
            </w:r>
          </w:p>
        </w:tc>
      </w:tr>
    </w:tbl>
    <w:p w14:paraId="6FF06E56" w14:textId="77777777" w:rsidR="009248D3" w:rsidRDefault="009248D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8755"/>
      </w:tblGrid>
      <w:tr w:rsidR="009248D3" w14:paraId="1AA3C8BA" w14:textId="77777777">
        <w:tblPrEx>
          <w:tblCellMar>
            <w:top w:w="0" w:type="dxa"/>
            <w:bottom w:w="0" w:type="dxa"/>
          </w:tblCellMar>
        </w:tblPrEx>
        <w:tc>
          <w:tcPr>
            <w:tcW w:w="220" w:type="dxa"/>
            <w:tcBorders>
              <w:top w:val="single" w:sz="1" w:space="0" w:color="CCCCCC"/>
              <w:left w:val="single" w:sz="1" w:space="0" w:color="CCCCCC"/>
              <w:bottom w:val="single" w:sz="1" w:space="0" w:color="CCCCCC"/>
              <w:right w:val="single" w:sz="1" w:space="0" w:color="CCCCCC"/>
            </w:tcBorders>
            <w:shd w:val="clear" w:color="auto" w:fill="EF9F27"/>
            <w:tcMar>
              <w:top w:w="80" w:type="dxa"/>
              <w:left w:w="80" w:type="dxa"/>
              <w:bottom w:w="80" w:type="dxa"/>
              <w:right w:w="80" w:type="dxa"/>
            </w:tcMar>
            <w:vAlign w:val="center"/>
          </w:tcPr>
          <w:p w14:paraId="75C5DB51" w14:textId="77777777" w:rsidR="009248D3" w:rsidRDefault="00000000">
            <w:pPr>
              <w:jc w:val="center"/>
            </w:pPr>
            <w:r>
              <w:rPr>
                <w:rFonts w:ascii="Arial" w:eastAsia="Arial" w:hAnsi="Arial" w:cs="Arial"/>
                <w:b/>
                <w:bCs/>
                <w:color w:val="FFFFFF"/>
                <w:sz w:val="16"/>
                <w:szCs w:val="16"/>
              </w:rPr>
              <w:t>BA NOTE</w:t>
            </w:r>
          </w:p>
        </w:tc>
        <w:tc>
          <w:tcPr>
            <w:tcW w:w="9140" w:type="dxa"/>
            <w:tcBorders>
              <w:top w:val="single" w:sz="1" w:space="0" w:color="CCCCCC"/>
              <w:left w:val="single" w:sz="1" w:space="0" w:color="CCCCCC"/>
              <w:bottom w:val="single" w:sz="1" w:space="0" w:color="CCCCCC"/>
              <w:right w:val="single" w:sz="1" w:space="0" w:color="CCCCCC"/>
            </w:tcBorders>
            <w:shd w:val="clear" w:color="auto" w:fill="FEF3DC"/>
            <w:tcMar>
              <w:top w:w="80" w:type="dxa"/>
              <w:left w:w="120" w:type="dxa"/>
              <w:bottom w:w="80" w:type="dxa"/>
              <w:right w:w="120" w:type="dxa"/>
            </w:tcMar>
          </w:tcPr>
          <w:p w14:paraId="427B98DA" w14:textId="77777777" w:rsidR="009248D3" w:rsidRDefault="00000000">
            <w:r>
              <w:rPr>
                <w:rFonts w:ascii="Arial" w:eastAsia="Arial" w:hAnsi="Arial" w:cs="Arial"/>
                <w:i/>
                <w:iCs/>
                <w:color w:val="633806"/>
              </w:rPr>
              <w:t>MoSCoW prioritisation is a standard BA tool. When a developer or project manager asks 'what do we build first?' this table is your answer. It also protects you in scope disputes — if something isn't in this table, it needs a change request.</w:t>
            </w:r>
          </w:p>
        </w:tc>
      </w:tr>
    </w:tbl>
    <w:p w14:paraId="18583FC5" w14:textId="77777777" w:rsidR="009248D3" w:rsidRDefault="009248D3">
      <w:pPr>
        <w:spacing w:before="120"/>
      </w:pPr>
    </w:p>
    <w:p w14:paraId="0C9324E3" w14:textId="77777777" w:rsidR="009248D3" w:rsidRDefault="00000000">
      <w:pPr>
        <w:pBdr>
          <w:bottom w:val="single" w:sz="8" w:space="4" w:color="1A3C6E"/>
        </w:pBdr>
        <w:spacing w:before="320" w:after="160"/>
      </w:pPr>
      <w:r>
        <w:rPr>
          <w:rFonts w:ascii="Arial" w:eastAsia="Arial" w:hAnsi="Arial" w:cs="Arial"/>
          <w:b/>
          <w:bCs/>
          <w:color w:val="1A3C6E"/>
          <w:sz w:val="32"/>
          <w:szCs w:val="32"/>
        </w:rPr>
        <w:t>5. Summary of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400"/>
        <w:gridCol w:w="2360"/>
      </w:tblGrid>
      <w:tr w:rsidR="009248D3" w14:paraId="43C1D6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00" w:type="dxa"/>
              <w:bottom w:w="80" w:type="dxa"/>
              <w:right w:w="100" w:type="dxa"/>
            </w:tcMar>
            <w:vAlign w:val="center"/>
          </w:tcPr>
          <w:p w14:paraId="03FAD469" w14:textId="77777777" w:rsidR="009248D3" w:rsidRDefault="00000000">
            <w:r>
              <w:rPr>
                <w:rFonts w:ascii="Arial" w:eastAsia="Arial" w:hAnsi="Arial" w:cs="Arial"/>
                <w:b/>
                <w:bCs/>
                <w:color w:val="FFFFFF"/>
              </w:rPr>
              <w:t>Metric</w:t>
            </w:r>
          </w:p>
        </w:tc>
        <w:tc>
          <w:tcPr>
            <w:tcW w:w="24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00" w:type="dxa"/>
              <w:bottom w:w="80" w:type="dxa"/>
              <w:right w:w="100" w:type="dxa"/>
            </w:tcMar>
            <w:vAlign w:val="center"/>
          </w:tcPr>
          <w:p w14:paraId="48B37F9C" w14:textId="77777777" w:rsidR="009248D3" w:rsidRDefault="00000000">
            <w:r>
              <w:rPr>
                <w:rFonts w:ascii="Arial" w:eastAsia="Arial" w:hAnsi="Arial" w:cs="Arial"/>
                <w:b/>
                <w:bCs/>
                <w:color w:val="FFFFFF"/>
              </w:rPr>
              <w:t>As-Is (Current)</w:t>
            </w:r>
          </w:p>
        </w:tc>
        <w:tc>
          <w:tcPr>
            <w:tcW w:w="24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00" w:type="dxa"/>
              <w:bottom w:w="80" w:type="dxa"/>
              <w:right w:w="100" w:type="dxa"/>
            </w:tcMar>
            <w:vAlign w:val="center"/>
          </w:tcPr>
          <w:p w14:paraId="293357BE" w14:textId="77777777" w:rsidR="009248D3" w:rsidRDefault="00000000">
            <w:r>
              <w:rPr>
                <w:rFonts w:ascii="Arial" w:eastAsia="Arial" w:hAnsi="Arial" w:cs="Arial"/>
                <w:b/>
                <w:bCs/>
                <w:color w:val="FFFFFF"/>
              </w:rPr>
              <w:t>To-Be (Target)</w:t>
            </w:r>
          </w:p>
        </w:tc>
        <w:tc>
          <w:tcPr>
            <w:tcW w:w="23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00" w:type="dxa"/>
              <w:bottom w:w="80" w:type="dxa"/>
              <w:right w:w="100" w:type="dxa"/>
            </w:tcMar>
            <w:vAlign w:val="center"/>
          </w:tcPr>
          <w:p w14:paraId="31B9E639" w14:textId="77777777" w:rsidR="009248D3" w:rsidRDefault="00000000">
            <w:r>
              <w:rPr>
                <w:rFonts w:ascii="Arial" w:eastAsia="Arial" w:hAnsi="Arial" w:cs="Arial"/>
                <w:b/>
                <w:bCs/>
                <w:color w:val="FFFFFF"/>
              </w:rPr>
              <w:t>Improvement</w:t>
            </w:r>
          </w:p>
        </w:tc>
      </w:tr>
      <w:tr w:rsidR="009248D3" w14:paraId="1A5816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7E41478B" w14:textId="77777777" w:rsidR="009248D3" w:rsidRDefault="00000000">
            <w:r>
              <w:rPr>
                <w:rFonts w:ascii="Arial" w:eastAsia="Arial" w:hAnsi="Arial" w:cs="Arial"/>
                <w:color w:val="222222"/>
              </w:rPr>
              <w:t>Average cycle time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2962943C" w14:textId="77777777" w:rsidR="009248D3" w:rsidRDefault="00000000">
            <w:r>
              <w:rPr>
                <w:rFonts w:ascii="Arial" w:eastAsia="Arial" w:hAnsi="Arial" w:cs="Arial"/>
                <w:color w:val="222222"/>
              </w:rPr>
              <w:t>18–22 business days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45DD9BA3" w14:textId="77777777" w:rsidR="009248D3" w:rsidRDefault="00000000">
            <w:r>
              <w:rPr>
                <w:rFonts w:ascii="Arial" w:eastAsia="Arial" w:hAnsi="Arial" w:cs="Arial"/>
                <w:color w:val="222222"/>
              </w:rPr>
              <w:t>3–5 business days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61A88DE3" w14:textId="77777777" w:rsidR="009248D3" w:rsidRDefault="00000000">
            <w:r>
              <w:rPr>
                <w:rFonts w:ascii="Arial" w:eastAsia="Arial" w:hAnsi="Arial" w:cs="Arial"/>
                <w:color w:val="222222"/>
              </w:rPr>
              <w:t>~80% reduction</w:t>
            </w:r>
          </w:p>
        </w:tc>
      </w:tr>
      <w:tr w:rsidR="009248D3" w14:paraId="64A53E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vAlign w:val="center"/>
          </w:tcPr>
          <w:p w14:paraId="40719DC9" w14:textId="77777777" w:rsidR="009248D3" w:rsidRDefault="00000000">
            <w:r>
              <w:rPr>
                <w:rFonts w:ascii="Arial" w:eastAsia="Arial" w:hAnsi="Arial" w:cs="Arial"/>
                <w:color w:val="222222"/>
              </w:rPr>
              <w:t>Digital channel availability</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vAlign w:val="center"/>
          </w:tcPr>
          <w:p w14:paraId="61BEF3C5" w14:textId="77777777" w:rsidR="009248D3" w:rsidRDefault="00000000">
            <w:r>
              <w:rPr>
                <w:rFonts w:ascii="Arial" w:eastAsia="Arial" w:hAnsi="Arial" w:cs="Arial"/>
                <w:color w:val="222222"/>
              </w:rPr>
              <w:t>None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vAlign w:val="center"/>
          </w:tcPr>
          <w:p w14:paraId="759ABEE7" w14:textId="77777777" w:rsidR="009248D3" w:rsidRDefault="00000000">
            <w:r>
              <w:rPr>
                <w:rFonts w:ascii="Arial" w:eastAsia="Arial" w:hAnsi="Arial" w:cs="Arial"/>
                <w:color w:val="222222"/>
              </w:rPr>
              <w:t>Web + mobile, 24/7</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vAlign w:val="center"/>
          </w:tcPr>
          <w:p w14:paraId="4C9AAB2A" w14:textId="77777777" w:rsidR="009248D3" w:rsidRDefault="00000000">
            <w:r>
              <w:rPr>
                <w:rFonts w:ascii="Arial" w:eastAsia="Arial" w:hAnsi="Arial" w:cs="Arial"/>
                <w:color w:val="222222"/>
              </w:rPr>
              <w:t>New capability</w:t>
            </w:r>
          </w:p>
        </w:tc>
      </w:tr>
      <w:tr w:rsidR="009248D3" w14:paraId="3E6627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32690DCF" w14:textId="77777777" w:rsidR="009248D3" w:rsidRDefault="00000000">
            <w:r>
              <w:rPr>
                <w:rFonts w:ascii="Arial" w:eastAsia="Arial" w:hAnsi="Arial" w:cs="Arial"/>
                <w:color w:val="222222"/>
              </w:rPr>
              <w:t>Auto-decisioned applications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03438529" w14:textId="77777777" w:rsidR="009248D3" w:rsidRDefault="00000000">
            <w:r>
              <w:rPr>
                <w:rFonts w:ascii="Arial" w:eastAsia="Arial" w:hAnsi="Arial" w:cs="Arial"/>
                <w:color w:val="222222"/>
              </w:rPr>
              <w:t>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505829E5" w14:textId="77777777" w:rsidR="009248D3" w:rsidRDefault="00000000">
            <w:r>
              <w:rPr>
                <w:rFonts w:ascii="Arial" w:eastAsia="Arial" w:hAnsi="Arial" w:cs="Arial"/>
                <w:color w:val="222222"/>
              </w:rPr>
              <w:t>70%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614C1247" w14:textId="77777777" w:rsidR="009248D3" w:rsidRDefault="00000000">
            <w:r>
              <w:rPr>
                <w:rFonts w:ascii="Arial" w:eastAsia="Arial" w:hAnsi="Arial" w:cs="Arial"/>
                <w:color w:val="222222"/>
              </w:rPr>
              <w:t>New capability</w:t>
            </w:r>
          </w:p>
        </w:tc>
      </w:tr>
      <w:tr w:rsidR="009248D3" w14:paraId="5AC643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vAlign w:val="center"/>
          </w:tcPr>
          <w:p w14:paraId="700DEC2B" w14:textId="77777777" w:rsidR="009248D3" w:rsidRDefault="00000000">
            <w:r>
              <w:rPr>
                <w:rFonts w:ascii="Arial" w:eastAsia="Arial" w:hAnsi="Arial" w:cs="Arial"/>
                <w:color w:val="222222"/>
              </w:rPr>
              <w:t>Document resubmission rate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vAlign w:val="center"/>
          </w:tcPr>
          <w:p w14:paraId="612A2E45" w14:textId="77777777" w:rsidR="009248D3" w:rsidRDefault="00000000">
            <w:r>
              <w:rPr>
                <w:rFonts w:ascii="Arial" w:eastAsia="Arial" w:hAnsi="Arial" w:cs="Arial"/>
                <w:color w:val="222222"/>
              </w:rPr>
              <w:t>40%</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vAlign w:val="center"/>
          </w:tcPr>
          <w:p w14:paraId="2A3E08A0" w14:textId="77777777" w:rsidR="009248D3" w:rsidRDefault="00000000">
            <w:r>
              <w:rPr>
                <w:rFonts w:ascii="Arial" w:eastAsia="Arial" w:hAnsi="Arial" w:cs="Arial"/>
                <w:color w:val="222222"/>
              </w:rPr>
              <w:t>&lt;5% (real-time checklist)</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vAlign w:val="center"/>
          </w:tcPr>
          <w:p w14:paraId="28DDA9C2" w14:textId="77777777" w:rsidR="009248D3" w:rsidRDefault="00000000">
            <w:r>
              <w:rPr>
                <w:rFonts w:ascii="Arial" w:eastAsia="Arial" w:hAnsi="Arial" w:cs="Arial"/>
                <w:color w:val="222222"/>
              </w:rPr>
              <w:t>~88% reduction</w:t>
            </w:r>
          </w:p>
        </w:tc>
      </w:tr>
      <w:tr w:rsidR="009248D3" w14:paraId="7C4626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0324F961" w14:textId="77777777" w:rsidR="009248D3" w:rsidRDefault="00000000">
            <w:r>
              <w:rPr>
                <w:rFonts w:ascii="Arial" w:eastAsia="Arial" w:hAnsi="Arial" w:cs="Arial"/>
                <w:color w:val="222222"/>
              </w:rPr>
              <w:t>Cost per transaction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3C7FBE27" w14:textId="77777777" w:rsidR="009248D3" w:rsidRDefault="00000000">
            <w:r>
              <w:rPr>
                <w:rFonts w:ascii="Arial" w:eastAsia="Arial" w:hAnsi="Arial" w:cs="Arial"/>
                <w:color w:val="222222"/>
              </w:rPr>
              <w:t>$28.40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0BAEB5B1" w14:textId="77777777" w:rsidR="009248D3" w:rsidRDefault="00000000">
            <w:r>
              <w:rPr>
                <w:rFonts w:ascii="Arial" w:eastAsia="Arial" w:hAnsi="Arial" w:cs="Arial"/>
                <w:color w:val="222222"/>
              </w:rPr>
              <w:t>&lt;$8.50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487CF169" w14:textId="77777777" w:rsidR="009248D3" w:rsidRDefault="00000000">
            <w:r>
              <w:rPr>
                <w:rFonts w:ascii="Arial" w:eastAsia="Arial" w:hAnsi="Arial" w:cs="Arial"/>
                <w:color w:val="222222"/>
              </w:rPr>
              <w:t>~70% reduction</w:t>
            </w:r>
          </w:p>
        </w:tc>
      </w:tr>
      <w:tr w:rsidR="009248D3" w14:paraId="100A626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vAlign w:val="center"/>
          </w:tcPr>
          <w:p w14:paraId="2A31A9CA" w14:textId="77777777" w:rsidR="009248D3" w:rsidRDefault="00000000">
            <w:r>
              <w:rPr>
                <w:rFonts w:ascii="Arial" w:eastAsia="Arial" w:hAnsi="Arial" w:cs="Arial"/>
                <w:color w:val="222222"/>
              </w:rPr>
              <w:t>Resident satisfaction</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vAlign w:val="center"/>
          </w:tcPr>
          <w:p w14:paraId="4E4B7024" w14:textId="77777777" w:rsidR="009248D3" w:rsidRDefault="00000000">
            <w:r>
              <w:rPr>
                <w:rFonts w:ascii="Arial" w:eastAsia="Arial" w:hAnsi="Arial" w:cs="Arial"/>
                <w:color w:val="222222"/>
              </w:rPr>
              <w:t>54%</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vAlign w:val="center"/>
          </w:tcPr>
          <w:p w14:paraId="3F19F30A" w14:textId="77777777" w:rsidR="009248D3" w:rsidRDefault="00000000">
            <w:r>
              <w:rPr>
                <w:rFonts w:ascii="Arial" w:eastAsia="Arial" w:hAnsi="Arial" w:cs="Arial"/>
                <w:color w:val="222222"/>
              </w:rPr>
              <w:t>Target: 80%+</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vAlign w:val="center"/>
          </w:tcPr>
          <w:p w14:paraId="618D97EE" w14:textId="77777777" w:rsidR="009248D3" w:rsidRDefault="00000000">
            <w:r>
              <w:rPr>
                <w:rFonts w:ascii="Arial" w:eastAsia="Arial" w:hAnsi="Arial" w:cs="Arial"/>
                <w:color w:val="222222"/>
              </w:rPr>
              <w:t>+26 points</w:t>
            </w:r>
          </w:p>
        </w:tc>
      </w:tr>
      <w:tr w:rsidR="009248D3" w14:paraId="1D36466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796CB957" w14:textId="77777777" w:rsidR="009248D3" w:rsidRDefault="00000000">
            <w:r>
              <w:rPr>
                <w:rFonts w:ascii="Arial" w:eastAsia="Arial" w:hAnsi="Arial" w:cs="Arial"/>
                <w:color w:val="222222"/>
              </w:rPr>
              <w:t>Scoring consistency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5B0F2ED9" w14:textId="77777777" w:rsidR="009248D3" w:rsidRDefault="00000000">
            <w:r>
              <w:rPr>
                <w:rFonts w:ascii="Arial" w:eastAsia="Arial" w:hAnsi="Arial" w:cs="Arial"/>
                <w:color w:val="222222"/>
              </w:rPr>
              <w:t>Variable by analyst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70851891" w14:textId="77777777" w:rsidR="009248D3" w:rsidRDefault="00000000">
            <w:r>
              <w:rPr>
                <w:rFonts w:ascii="Arial" w:eastAsia="Arial" w:hAnsi="Arial" w:cs="Arial"/>
                <w:color w:val="222222"/>
              </w:rPr>
              <w:t>Standardised model</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3D0C556F" w14:textId="77777777" w:rsidR="009248D3" w:rsidRDefault="00000000">
            <w:r>
              <w:rPr>
                <w:rFonts w:ascii="Arial" w:eastAsia="Arial" w:hAnsi="Arial" w:cs="Arial"/>
                <w:color w:val="222222"/>
              </w:rPr>
              <w:t>Compliance ready</w:t>
            </w:r>
          </w:p>
        </w:tc>
      </w:tr>
    </w:tbl>
    <w:p w14:paraId="46370D3F" w14:textId="77777777" w:rsidR="009248D3" w:rsidRDefault="009248D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8755"/>
      </w:tblGrid>
      <w:tr w:rsidR="009248D3" w14:paraId="247283D0" w14:textId="77777777">
        <w:tblPrEx>
          <w:tblCellMar>
            <w:top w:w="0" w:type="dxa"/>
            <w:bottom w:w="0" w:type="dxa"/>
          </w:tblCellMar>
        </w:tblPrEx>
        <w:tc>
          <w:tcPr>
            <w:tcW w:w="220" w:type="dxa"/>
            <w:tcBorders>
              <w:top w:val="single" w:sz="1" w:space="0" w:color="CCCCCC"/>
              <w:left w:val="single" w:sz="1" w:space="0" w:color="CCCCCC"/>
              <w:bottom w:val="single" w:sz="1" w:space="0" w:color="CCCCCC"/>
              <w:right w:val="single" w:sz="1" w:space="0" w:color="CCCCCC"/>
            </w:tcBorders>
            <w:shd w:val="clear" w:color="auto" w:fill="EF9F27"/>
            <w:tcMar>
              <w:top w:w="80" w:type="dxa"/>
              <w:left w:w="80" w:type="dxa"/>
              <w:bottom w:w="80" w:type="dxa"/>
              <w:right w:w="80" w:type="dxa"/>
            </w:tcMar>
            <w:vAlign w:val="center"/>
          </w:tcPr>
          <w:p w14:paraId="4903F617" w14:textId="77777777" w:rsidR="009248D3" w:rsidRDefault="00000000">
            <w:pPr>
              <w:jc w:val="center"/>
            </w:pPr>
            <w:r>
              <w:rPr>
                <w:rFonts w:ascii="Arial" w:eastAsia="Arial" w:hAnsi="Arial" w:cs="Arial"/>
                <w:b/>
                <w:bCs/>
                <w:color w:val="FFFFFF"/>
                <w:sz w:val="16"/>
                <w:szCs w:val="16"/>
              </w:rPr>
              <w:t>BA NOTE</w:t>
            </w:r>
          </w:p>
        </w:tc>
        <w:tc>
          <w:tcPr>
            <w:tcW w:w="9140" w:type="dxa"/>
            <w:tcBorders>
              <w:top w:val="single" w:sz="1" w:space="0" w:color="CCCCCC"/>
              <w:left w:val="single" w:sz="1" w:space="0" w:color="CCCCCC"/>
              <w:bottom w:val="single" w:sz="1" w:space="0" w:color="CCCCCC"/>
              <w:right w:val="single" w:sz="1" w:space="0" w:color="CCCCCC"/>
            </w:tcBorders>
            <w:shd w:val="clear" w:color="auto" w:fill="FEF3DC"/>
            <w:tcMar>
              <w:top w:w="80" w:type="dxa"/>
              <w:left w:w="120" w:type="dxa"/>
              <w:bottom w:w="80" w:type="dxa"/>
              <w:right w:w="120" w:type="dxa"/>
            </w:tcMar>
          </w:tcPr>
          <w:p w14:paraId="38049FC8" w14:textId="77777777" w:rsidR="009248D3" w:rsidRDefault="00000000">
            <w:r>
              <w:rPr>
                <w:rFonts w:ascii="Arial" w:eastAsia="Arial" w:hAnsi="Arial" w:cs="Arial"/>
                <w:i/>
                <w:iCs/>
                <w:color w:val="633806"/>
              </w:rPr>
              <w:t>This summary table is what you show executives. They don't need to read the process maps — they need the before/after numbers. A BA always translates detailed findings into a clear, quantified summary for leadership audiences.</w:t>
            </w:r>
          </w:p>
        </w:tc>
      </w:tr>
    </w:tbl>
    <w:p w14:paraId="58379954" w14:textId="77777777" w:rsidR="009248D3" w:rsidRDefault="009248D3">
      <w:pPr>
        <w:spacing w:before="200"/>
      </w:pPr>
    </w:p>
    <w:p w14:paraId="68021264" w14:textId="77777777" w:rsidR="009248D3" w:rsidRDefault="00000000">
      <w:pPr>
        <w:pBdr>
          <w:top w:val="single" w:sz="4" w:space="4" w:color="CCCCCC"/>
        </w:pBdr>
        <w:jc w:val="center"/>
      </w:pPr>
      <w:r>
        <w:rPr>
          <w:rFonts w:ascii="Arial" w:eastAsia="Arial" w:hAnsi="Arial" w:cs="Arial"/>
          <w:i/>
          <w:iCs/>
          <w:color w:val="999999"/>
          <w:sz w:val="18"/>
          <w:szCs w:val="18"/>
        </w:rPr>
        <w:t>ServiceOntario Digital Transformation  ·  Process Maps &amp; Gap Analysis v1.0  ·  BA Portfolio Project — Phase 3 of 5</w:t>
      </w:r>
    </w:p>
    <w:sectPr w:rsidR="009248D3" w:rsidSect="005B497F">
      <w:pgSz w:w="12240" w:h="15840"/>
      <w:pgMar w:top="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06942"/>
    <w:multiLevelType w:val="hybridMultilevel"/>
    <w:tmpl w:val="B226E478"/>
    <w:lvl w:ilvl="0" w:tplc="6E589104">
      <w:start w:val="1"/>
      <w:numFmt w:val="bullet"/>
      <w:lvlText w:val="•"/>
      <w:lvlJc w:val="left"/>
      <w:pPr>
        <w:ind w:left="480" w:hanging="280"/>
      </w:pPr>
    </w:lvl>
    <w:lvl w:ilvl="1" w:tplc="D02237A0">
      <w:numFmt w:val="decimal"/>
      <w:lvlText w:val=""/>
      <w:lvlJc w:val="left"/>
    </w:lvl>
    <w:lvl w:ilvl="2" w:tplc="7A8CAE86">
      <w:numFmt w:val="decimal"/>
      <w:lvlText w:val=""/>
      <w:lvlJc w:val="left"/>
    </w:lvl>
    <w:lvl w:ilvl="3" w:tplc="F21CE510">
      <w:numFmt w:val="decimal"/>
      <w:lvlText w:val=""/>
      <w:lvlJc w:val="left"/>
    </w:lvl>
    <w:lvl w:ilvl="4" w:tplc="4B50AF0C">
      <w:numFmt w:val="decimal"/>
      <w:lvlText w:val=""/>
      <w:lvlJc w:val="left"/>
    </w:lvl>
    <w:lvl w:ilvl="5" w:tplc="11600A8C">
      <w:numFmt w:val="decimal"/>
      <w:lvlText w:val=""/>
      <w:lvlJc w:val="left"/>
    </w:lvl>
    <w:lvl w:ilvl="6" w:tplc="F438A276">
      <w:numFmt w:val="decimal"/>
      <w:lvlText w:val=""/>
      <w:lvlJc w:val="left"/>
    </w:lvl>
    <w:lvl w:ilvl="7" w:tplc="060069B8">
      <w:numFmt w:val="decimal"/>
      <w:lvlText w:val=""/>
      <w:lvlJc w:val="left"/>
    </w:lvl>
    <w:lvl w:ilvl="8" w:tplc="1350262E">
      <w:numFmt w:val="decimal"/>
      <w:lvlText w:val=""/>
      <w:lvlJc w:val="left"/>
    </w:lvl>
  </w:abstractNum>
  <w:abstractNum w:abstractNumId="1" w15:restartNumberingAfterBreak="0">
    <w:nsid w:val="2B7E2F53"/>
    <w:multiLevelType w:val="hybridMultilevel"/>
    <w:tmpl w:val="597439FA"/>
    <w:lvl w:ilvl="0" w:tplc="87820C36">
      <w:start w:val="1"/>
      <w:numFmt w:val="bullet"/>
      <w:lvlText w:val="●"/>
      <w:lvlJc w:val="left"/>
      <w:pPr>
        <w:ind w:left="720" w:hanging="360"/>
      </w:pPr>
    </w:lvl>
    <w:lvl w:ilvl="1" w:tplc="DDAED6BA">
      <w:start w:val="1"/>
      <w:numFmt w:val="bullet"/>
      <w:lvlText w:val="○"/>
      <w:lvlJc w:val="left"/>
      <w:pPr>
        <w:ind w:left="1440" w:hanging="360"/>
      </w:pPr>
    </w:lvl>
    <w:lvl w:ilvl="2" w:tplc="15301016">
      <w:start w:val="1"/>
      <w:numFmt w:val="bullet"/>
      <w:lvlText w:val="■"/>
      <w:lvlJc w:val="left"/>
      <w:pPr>
        <w:ind w:left="2160" w:hanging="360"/>
      </w:pPr>
    </w:lvl>
    <w:lvl w:ilvl="3" w:tplc="65029D60">
      <w:start w:val="1"/>
      <w:numFmt w:val="bullet"/>
      <w:lvlText w:val="●"/>
      <w:lvlJc w:val="left"/>
      <w:pPr>
        <w:ind w:left="2880" w:hanging="360"/>
      </w:pPr>
    </w:lvl>
    <w:lvl w:ilvl="4" w:tplc="D9E25540">
      <w:start w:val="1"/>
      <w:numFmt w:val="bullet"/>
      <w:lvlText w:val="○"/>
      <w:lvlJc w:val="left"/>
      <w:pPr>
        <w:ind w:left="3600" w:hanging="360"/>
      </w:pPr>
    </w:lvl>
    <w:lvl w:ilvl="5" w:tplc="EE62DADA">
      <w:start w:val="1"/>
      <w:numFmt w:val="bullet"/>
      <w:lvlText w:val="■"/>
      <w:lvlJc w:val="left"/>
      <w:pPr>
        <w:ind w:left="4320" w:hanging="360"/>
      </w:pPr>
    </w:lvl>
    <w:lvl w:ilvl="6" w:tplc="5FA0D590">
      <w:start w:val="1"/>
      <w:numFmt w:val="bullet"/>
      <w:lvlText w:val="●"/>
      <w:lvlJc w:val="left"/>
      <w:pPr>
        <w:ind w:left="5040" w:hanging="360"/>
      </w:pPr>
    </w:lvl>
    <w:lvl w:ilvl="7" w:tplc="6DE2EFCC">
      <w:start w:val="1"/>
      <w:numFmt w:val="bullet"/>
      <w:lvlText w:val="●"/>
      <w:lvlJc w:val="left"/>
      <w:pPr>
        <w:ind w:left="5760" w:hanging="360"/>
      </w:pPr>
    </w:lvl>
    <w:lvl w:ilvl="8" w:tplc="0C2678B2">
      <w:start w:val="1"/>
      <w:numFmt w:val="bullet"/>
      <w:lvlText w:val="●"/>
      <w:lvlJc w:val="left"/>
      <w:pPr>
        <w:ind w:left="6480" w:hanging="360"/>
      </w:pPr>
    </w:lvl>
  </w:abstractNum>
  <w:num w:numId="1" w16cid:durableId="786385494">
    <w:abstractNumId w:val="1"/>
    <w:lvlOverride w:ilvl="0">
      <w:startOverride w:val="1"/>
    </w:lvlOverride>
  </w:num>
  <w:num w:numId="2" w16cid:durableId="8324544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8D3"/>
    <w:rsid w:val="003B48F5"/>
    <w:rsid w:val="005B497F"/>
    <w:rsid w:val="009248D3"/>
  </w:rsids>
  <m:mathPr>
    <m:mathFont m:val="Cambria Math"/>
    <m:brkBin m:val="before"/>
    <m:brkBinSub m:val="--"/>
    <m:smallFrac m:val="0"/>
    <m:dispDef/>
    <m:lMargin m:val="0"/>
    <m:rMargin m:val="0"/>
    <m:defJc m:val="centerGroup"/>
    <m:wrapIndent m:val="1440"/>
    <m:intLim m:val="subSup"/>
    <m:naryLim m:val="undOvr"/>
  </m:mathPr>
  <w:themeFontLang w:val="en-CA"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4AD32"/>
  <w15:docId w15:val="{978A73E1-4C10-4F89-B074-CD78E97A6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1046</Words>
  <Characters>5965</Characters>
  <Application>Microsoft Office Word</Application>
  <DocSecurity>0</DocSecurity>
  <Lines>49</Lines>
  <Paragraphs>13</Paragraphs>
  <ScaleCrop>false</ScaleCrop>
  <Company/>
  <LinksUpToDate>false</LinksUpToDate>
  <CharactersWithSpaces>6998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Aishwarya Senthil</cp:lastModifiedBy>
  <cp:revision>2</cp:revision>
  <dcterms:created xsi:type="dcterms:W3CDTF">2026-06-03T01:19:00Z</dcterms:created>
  <dcterms:modified xsi:type="dcterms:W3CDTF">2026-06-08T19:06:00Z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e843f2ed-4f4d-4b69-9ac6-42b98eb9d81d</vt:lpwstr>
  </property>
</Properties>
</file>