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577D" w14:textId="77777777" w:rsidR="00D622BE" w:rsidRDefault="00D622BE">
      <w:pPr>
        <w:spacing w:before="800"/>
      </w:pPr>
    </w:p>
    <w:p w14:paraId="5CDB0AEF" w14:textId="77777777" w:rsidR="00D622BE" w:rsidRDefault="00000000">
      <w:pPr>
        <w:jc w:val="center"/>
      </w:pPr>
      <w:r>
        <w:rPr>
          <w:rFonts w:ascii="Arial" w:eastAsia="Arial" w:hAnsi="Arial" w:cs="Arial"/>
          <w:b/>
          <w:bCs/>
          <w:color w:val="1A3C6E"/>
          <w:sz w:val="48"/>
          <w:szCs w:val="48"/>
        </w:rPr>
        <w:t>BUSINESS REQUIREMENTS DOCUMENT</w:t>
      </w:r>
    </w:p>
    <w:p w14:paraId="5A3F5953" w14:textId="77777777" w:rsidR="00D622BE" w:rsidRDefault="00D622BE">
      <w:pPr>
        <w:spacing w:before="80"/>
      </w:pPr>
    </w:p>
    <w:p w14:paraId="4B52B193" w14:textId="77777777" w:rsidR="00D622BE" w:rsidRDefault="00000000">
      <w:pPr>
        <w:jc w:val="center"/>
      </w:pPr>
      <w:r>
        <w:rPr>
          <w:rFonts w:ascii="Arial" w:eastAsia="Arial" w:hAnsi="Arial" w:cs="Arial"/>
          <w:color w:val="444444"/>
          <w:sz w:val="30"/>
          <w:szCs w:val="30"/>
        </w:rPr>
        <w:t>ServiceOntario Digital Transformation Initiative</w:t>
      </w:r>
    </w:p>
    <w:p w14:paraId="3E7327DF" w14:textId="77777777" w:rsidR="00D622BE" w:rsidRDefault="00D622BE">
      <w:pPr>
        <w:spacing w:before="60"/>
      </w:pPr>
    </w:p>
    <w:p w14:paraId="62CD7D30" w14:textId="57A0F4B5" w:rsidR="00D622BE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555555"/>
          <w:sz w:val="22"/>
          <w:szCs w:val="22"/>
        </w:rPr>
        <w:t xml:space="preserve">Prepared by:  </w:t>
      </w:r>
      <w:r w:rsidR="0027546E" w:rsidRPr="0027546E">
        <w:rPr>
          <w:rFonts w:ascii="Arial" w:eastAsia="Arial" w:hAnsi="Arial" w:cs="Arial"/>
          <w:color w:val="222222"/>
          <w:sz w:val="22"/>
          <w:szCs w:val="22"/>
        </w:rPr>
        <w:t xml:space="preserve">Aishwarya Senthil </w:t>
      </w:r>
      <w:r>
        <w:rPr>
          <w:rFonts w:ascii="Arial" w:eastAsia="Arial" w:hAnsi="Arial" w:cs="Arial"/>
          <w:color w:val="222222"/>
          <w:sz w:val="22"/>
          <w:szCs w:val="22"/>
        </w:rPr>
        <w:t>— Business Analyst</w:t>
      </w:r>
    </w:p>
    <w:p w14:paraId="004878DA" w14:textId="77777777" w:rsidR="00D622BE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555555"/>
          <w:sz w:val="22"/>
          <w:szCs w:val="22"/>
        </w:rPr>
        <w:t xml:space="preserve">Version:  </w:t>
      </w:r>
      <w:r>
        <w:rPr>
          <w:rFonts w:ascii="Arial" w:eastAsia="Arial" w:hAnsi="Arial" w:cs="Arial"/>
          <w:color w:val="222222"/>
          <w:sz w:val="22"/>
          <w:szCs w:val="22"/>
        </w:rPr>
        <w:t>1.0</w:t>
      </w:r>
    </w:p>
    <w:p w14:paraId="7750F193" w14:textId="77777777" w:rsidR="00D622BE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555555"/>
          <w:sz w:val="22"/>
          <w:szCs w:val="22"/>
        </w:rPr>
        <w:t xml:space="preserve">Date:  </w:t>
      </w:r>
      <w:r>
        <w:rPr>
          <w:rFonts w:ascii="Arial" w:eastAsia="Arial" w:hAnsi="Arial" w:cs="Arial"/>
          <w:color w:val="222222"/>
          <w:sz w:val="22"/>
          <w:szCs w:val="22"/>
        </w:rPr>
        <w:t>June 2026</w:t>
      </w:r>
    </w:p>
    <w:p w14:paraId="77507EF3" w14:textId="77777777" w:rsidR="00D622BE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555555"/>
          <w:sz w:val="22"/>
          <w:szCs w:val="22"/>
        </w:rPr>
        <w:t xml:space="preserve">Phase:  </w:t>
      </w:r>
      <w:r>
        <w:rPr>
          <w:rFonts w:ascii="Arial" w:eastAsia="Arial" w:hAnsi="Arial" w:cs="Arial"/>
          <w:color w:val="222222"/>
          <w:sz w:val="22"/>
          <w:szCs w:val="22"/>
        </w:rPr>
        <w:t>4 of 5 — Business Requirements Document (BRD)</w:t>
      </w:r>
    </w:p>
    <w:p w14:paraId="662323BD" w14:textId="77777777" w:rsidR="00D622BE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555555"/>
          <w:sz w:val="22"/>
          <w:szCs w:val="22"/>
        </w:rPr>
        <w:t xml:space="preserve">Builds on:  </w:t>
      </w:r>
      <w:r>
        <w:rPr>
          <w:rFonts w:ascii="Arial" w:eastAsia="Arial" w:hAnsi="Arial" w:cs="Arial"/>
          <w:color w:val="222222"/>
          <w:sz w:val="22"/>
          <w:szCs w:val="22"/>
        </w:rPr>
        <w:t>Phase 1 (Charter) · Phase 2 (Stakeholders) · Phase 3 (Process Maps)</w:t>
      </w:r>
    </w:p>
    <w:p w14:paraId="6D1F066A" w14:textId="77777777" w:rsidR="00D622BE" w:rsidRDefault="00D622BE">
      <w:pPr>
        <w:spacing w:before="400"/>
      </w:pPr>
    </w:p>
    <w:p w14:paraId="5A45FAE8" w14:textId="77777777" w:rsidR="00D622BE" w:rsidRDefault="00000000">
      <w:pPr>
        <w:jc w:val="center"/>
      </w:pPr>
      <w:r>
        <w:rPr>
          <w:rFonts w:ascii="Arial" w:eastAsia="Arial" w:hAnsi="Arial" w:cs="Arial"/>
          <w:i/>
          <w:iCs/>
          <w:color w:val="999999"/>
          <w:sz w:val="18"/>
          <w:szCs w:val="18"/>
        </w:rPr>
        <w:t>BA Portfolio Project  ·  Phase 4 of 5</w:t>
      </w:r>
    </w:p>
    <w:p w14:paraId="49B76D6C" w14:textId="77777777" w:rsidR="00D622BE" w:rsidRDefault="00000000">
      <w:r>
        <w:br w:type="page"/>
      </w:r>
    </w:p>
    <w:p w14:paraId="1CEDAB97" w14:textId="77777777" w:rsidR="00D622BE" w:rsidRDefault="00000000">
      <w:pPr>
        <w:pBdr>
          <w:bottom w:val="single" w:sz="8" w:space="4" w:color="1A3C6E"/>
        </w:pBdr>
        <w:spacing w:before="320" w:after="160"/>
      </w:pPr>
      <w:r>
        <w:rPr>
          <w:rFonts w:ascii="Arial" w:eastAsia="Arial" w:hAnsi="Arial" w:cs="Arial"/>
          <w:b/>
          <w:bCs/>
          <w:color w:val="1A3C6E"/>
          <w:sz w:val="32"/>
          <w:szCs w:val="32"/>
        </w:rPr>
        <w:lastRenderedPageBreak/>
        <w:t>1. What is a BRD?</w:t>
      </w:r>
    </w:p>
    <w:p w14:paraId="64DC9426" w14:textId="77777777" w:rsidR="00D622B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A Business Requirements Document (BRD) is the formal record of what a solution must do to address the business problem. It is the BA's primary output — the document that bridges the gap between what the business needs and what the technology team will build.</w:t>
      </w:r>
    </w:p>
    <w:p w14:paraId="7D2C5CE7" w14:textId="77777777" w:rsidR="00D622B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A BRD contains two types of requirements. Functional requirements describe what the system must DO — specific features and behaviours. Non-functional requirements describe how the system must PERFORM — speed, security, accessibility, reliability. Both are equally important; skipping non-functional requirements is one of the most common causes of failed government IT projects.</w:t>
      </w:r>
    </w:p>
    <w:p w14:paraId="29F507B9" w14:textId="77777777" w:rsidR="00D622B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Every requirement in this document traces back to a specific objective, gap, or stakeholder concern identified in Phases 1–3. This traceability is what makes a BRD defensible when stakeholders push back or scope creep begins.</w:t>
      </w:r>
    </w:p>
    <w:p w14:paraId="38361D26" w14:textId="77777777" w:rsidR="00D622BE" w:rsidRDefault="00D622B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D622BE" w14:paraId="63056F66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90596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 NOTE</w:t>
            </w:r>
          </w:p>
        </w:tc>
        <w:tc>
          <w:tcPr>
            <w:tcW w:w="9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099B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633806"/>
              </w:rPr>
              <w:t>In your 5 months of BA experience you likely helped gather requirements. The BRD is where those requirements get formally documented, prioritised, and agreed. Knowing the difference between functional and non-functional requirements is a standard interview question — make sure you can explain both with an example.</w:t>
            </w:r>
          </w:p>
        </w:tc>
      </w:tr>
    </w:tbl>
    <w:p w14:paraId="628F9211" w14:textId="77777777" w:rsidR="00D622BE" w:rsidRDefault="00D622BE">
      <w:pPr>
        <w:spacing w:before="120"/>
      </w:pPr>
    </w:p>
    <w:p w14:paraId="38E3733D" w14:textId="77777777" w:rsidR="00D622BE" w:rsidRDefault="00000000">
      <w:pPr>
        <w:pBdr>
          <w:bottom w:val="single" w:sz="8" w:space="4" w:color="1A3C6E"/>
        </w:pBdr>
        <w:spacing w:before="320" w:after="160"/>
      </w:pPr>
      <w:r>
        <w:rPr>
          <w:rFonts w:ascii="Arial" w:eastAsia="Arial" w:hAnsi="Arial" w:cs="Arial"/>
          <w:b/>
          <w:bCs/>
          <w:color w:val="1A3C6E"/>
          <w:sz w:val="32"/>
          <w:szCs w:val="32"/>
        </w:rPr>
        <w:t>2. Document Purpose &amp; Scope</w:t>
      </w:r>
    </w:p>
    <w:p w14:paraId="08C8B591" w14:textId="77777777" w:rsidR="00D622B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This BRD documents all business requirements for the ServiceOntario Digital Transformation Initiative — specifically the online renewal portal for health cards, driver's licences, and vehicle permit stickers. It is the authoritative reference for what the solution must deliver at launch.</w:t>
      </w:r>
    </w:p>
    <w:p w14:paraId="16EA3D51" w14:textId="77777777" w:rsidR="00D622BE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A3C6E"/>
          <w:sz w:val="24"/>
          <w:szCs w:val="24"/>
        </w:rPr>
        <w:t>In Scope for this BRD</w:t>
      </w:r>
    </w:p>
    <w:p w14:paraId="333F0466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  <w:sz w:val="22"/>
          <w:szCs w:val="22"/>
        </w:rPr>
        <w:t>Online health card (OHIP) renewal portal</w:t>
      </w:r>
    </w:p>
    <w:p w14:paraId="13988AD5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  <w:sz w:val="22"/>
          <w:szCs w:val="22"/>
        </w:rPr>
        <w:t>Online driver's licence renewal (non-commercial) portal</w:t>
      </w:r>
    </w:p>
    <w:p w14:paraId="5E12D5AF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  <w:sz w:val="22"/>
          <w:szCs w:val="22"/>
        </w:rPr>
        <w:t>Online vehicle permit sticker renewal</w:t>
      </w:r>
    </w:p>
    <w:p w14:paraId="139C7F48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  <w:sz w:val="22"/>
          <w:szCs w:val="22"/>
        </w:rPr>
        <w:t>Automated document validation and real-time checklist</w:t>
      </w:r>
    </w:p>
    <w:p w14:paraId="75CBA56D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  <w:sz w:val="22"/>
          <w:szCs w:val="22"/>
        </w:rPr>
        <w:t>Credit bureau API integration and standardised scoring engine</w:t>
      </w:r>
    </w:p>
    <w:p w14:paraId="20963040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  <w:sz w:val="22"/>
          <w:szCs w:val="22"/>
        </w:rPr>
        <w:t>Resident notification system (in-app, email, SMS)</w:t>
      </w:r>
    </w:p>
    <w:p w14:paraId="3CC5BF39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  <w:sz w:val="22"/>
          <w:szCs w:val="22"/>
        </w:rPr>
        <w:t>Bilingual (EN/FR) and AODA-compliant interface</w:t>
      </w:r>
    </w:p>
    <w:p w14:paraId="0945BB7C" w14:textId="77777777" w:rsidR="00D622BE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A3C6E"/>
          <w:sz w:val="24"/>
          <w:szCs w:val="24"/>
        </w:rPr>
        <w:t>Out of Scope for this BRD</w:t>
      </w:r>
    </w:p>
    <w:p w14:paraId="53364C5A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  <w:sz w:val="22"/>
          <w:szCs w:val="22"/>
        </w:rPr>
        <w:t>First-time health card issuance or replacement</w:t>
      </w:r>
    </w:p>
    <w:p w14:paraId="651BFD66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  <w:sz w:val="22"/>
          <w:szCs w:val="22"/>
        </w:rPr>
        <w:t>Commercial driver's licence renewals</w:t>
      </w:r>
    </w:p>
    <w:p w14:paraId="7DD510B0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  <w:sz w:val="22"/>
          <w:szCs w:val="22"/>
        </w:rPr>
        <w:t>Back-end legacy mainframe system modifications</w:t>
      </w:r>
    </w:p>
    <w:p w14:paraId="71EE1995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22222"/>
          <w:sz w:val="22"/>
          <w:szCs w:val="22"/>
        </w:rPr>
        <w:t>Any services outside the three renewal types listed above</w:t>
      </w:r>
    </w:p>
    <w:p w14:paraId="56586DD3" w14:textId="77777777" w:rsidR="00D622BE" w:rsidRDefault="00D622B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D622BE" w14:paraId="1969E852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A2BDE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 NOTE</w:t>
            </w:r>
          </w:p>
        </w:tc>
        <w:tc>
          <w:tcPr>
            <w:tcW w:w="9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B2EB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633806"/>
              </w:rPr>
              <w:t>Repeating the scope in the BRD is not redundant — it is essential. New stakeholders join projects after the charter is written and they need this context. The BRD must stand alone as a complete document.</w:t>
            </w:r>
          </w:p>
        </w:tc>
      </w:tr>
    </w:tbl>
    <w:p w14:paraId="0F024A83" w14:textId="77777777" w:rsidR="00D622BE" w:rsidRDefault="00D622BE">
      <w:pPr>
        <w:spacing w:before="120"/>
      </w:pPr>
    </w:p>
    <w:p w14:paraId="65F14A52" w14:textId="77777777" w:rsidR="00D622BE" w:rsidRDefault="00000000">
      <w:pPr>
        <w:pBdr>
          <w:bottom w:val="single" w:sz="8" w:space="4" w:color="1A3C6E"/>
        </w:pBdr>
        <w:spacing w:before="320" w:after="160"/>
      </w:pPr>
      <w:r>
        <w:rPr>
          <w:rFonts w:ascii="Arial" w:eastAsia="Arial" w:hAnsi="Arial" w:cs="Arial"/>
          <w:b/>
          <w:bCs/>
          <w:color w:val="1A3C6E"/>
          <w:sz w:val="32"/>
          <w:szCs w:val="32"/>
        </w:rPr>
        <w:t>3. Functional Requirements</w:t>
      </w:r>
    </w:p>
    <w:p w14:paraId="74BD179C" w14:textId="77777777" w:rsidR="00D622B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Functional requirements define the specific behaviours and capabilities the system must have. Each requirement is written in the format: 'The system shall...' This language is standard in BRDs because it is unambiguous — it states a mandatory capability, not a suggestion.</w:t>
      </w:r>
    </w:p>
    <w:p w14:paraId="153FA420" w14:textId="77777777" w:rsidR="00D622BE" w:rsidRDefault="00D622B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1260"/>
        <w:gridCol w:w="1400"/>
        <w:gridCol w:w="1600"/>
      </w:tblGrid>
      <w:tr w:rsidR="00D622BE" w14:paraId="4B2CF5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81B31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Req. 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81027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06A7B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1C101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638C6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Source</w:t>
            </w:r>
          </w:p>
        </w:tc>
      </w:tr>
      <w:tr w:rsidR="00D622BE" w14:paraId="64329C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51678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FR-01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BB83B" w14:textId="77777777" w:rsidR="00D622BE" w:rsidRDefault="00000000">
            <w:r>
              <w:rPr>
                <w:rFonts w:ascii="Arial" w:eastAsia="Arial" w:hAnsi="Arial" w:cs="Arial"/>
              </w:rPr>
              <w:t>The system shall allow residents to submit health card renewal applications online via a web browser or mobile device without requiring a branch visit.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7A9F2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6E56"/>
                <w:sz w:val="18"/>
                <w:szCs w:val="18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F5BC9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A1A"/>
                <w:sz w:val="18"/>
                <w:szCs w:val="18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13B0A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Phase 1 Objective 1 · Phase 3 Gap Analysis</w:t>
            </w:r>
          </w:p>
        </w:tc>
      </w:tr>
      <w:tr w:rsidR="00D622BE" w14:paraId="09C0D7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767AE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FR-02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1282C" w14:textId="77777777" w:rsidR="00D622BE" w:rsidRDefault="00000000">
            <w:r>
              <w:rPr>
                <w:rFonts w:ascii="Arial" w:eastAsia="Arial" w:hAnsi="Arial" w:cs="Arial"/>
              </w:rPr>
              <w:t>The system shall provide a real-time document checklist that validates uploaded documents for completeness and notifies the resident instantly of any missing items via email and SMS.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EEF08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6E56"/>
                <w:sz w:val="18"/>
                <w:szCs w:val="18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4F7F3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A1A"/>
                <w:sz w:val="18"/>
                <w:szCs w:val="18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8EA4A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Phase 3 Gap — 40% resubmission rate</w:t>
            </w:r>
          </w:p>
        </w:tc>
      </w:tr>
      <w:tr w:rsidR="00D622BE" w14:paraId="649194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903D3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FR-03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48ED1" w14:textId="77777777" w:rsidR="00D622BE" w:rsidRDefault="00000000">
            <w:r>
              <w:rPr>
                <w:rFonts w:ascii="Arial" w:eastAsia="Arial" w:hAnsi="Arial" w:cs="Arial"/>
              </w:rPr>
              <w:t>The system shall integrate with the Ontario credit bureau API to retrieve applicant credit data automatically upon submission, without manual analyst intervention.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7C79C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6E56"/>
                <w:sz w:val="18"/>
                <w:szCs w:val="18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183C9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A1A"/>
                <w:sz w:val="18"/>
                <w:szCs w:val="18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9A73C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Phase 3 Gap — Manual bureau pull</w:t>
            </w:r>
          </w:p>
        </w:tc>
      </w:tr>
      <w:tr w:rsidR="00D622BE" w14:paraId="76E89E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0FA7F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FR-04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6AA2A" w14:textId="77777777" w:rsidR="00D622BE" w:rsidRDefault="00000000">
            <w:r>
              <w:rPr>
                <w:rFonts w:ascii="Arial" w:eastAsia="Arial" w:hAnsi="Arial" w:cs="Arial"/>
              </w:rPr>
              <w:t>The system shall apply a standardised, rules-based scoring engine to assess eligibility, producing a consistent outcome regardless of which analyst or system processes the application.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AC06F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6E56"/>
                <w:sz w:val="18"/>
                <w:szCs w:val="18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53E7C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A1A"/>
                <w:sz w:val="18"/>
                <w:szCs w:val="18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B04EB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Phase 3 Gap — Analyst inconsistency</w:t>
            </w:r>
          </w:p>
        </w:tc>
      </w:tr>
      <w:tr w:rsidR="00D622BE" w14:paraId="5B5369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3EEB5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FR-05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9677F" w14:textId="77777777" w:rsidR="00D622BE" w:rsidRDefault="00000000">
            <w:r>
              <w:rPr>
                <w:rFonts w:ascii="Arial" w:eastAsia="Arial" w:hAnsi="Arial" w:cs="Arial"/>
              </w:rPr>
              <w:t>The system shall auto-approve applications that meet the eligibility threshold (score ≥ 720) within 2 hours of submission and notify the applicant immediately.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479DB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6E56"/>
                <w:sz w:val="18"/>
                <w:szCs w:val="18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3B72D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A1A"/>
                <w:sz w:val="18"/>
                <w:szCs w:val="18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7137C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Phase 1 KPI — 70% auto-decisioned</w:t>
            </w:r>
          </w:p>
        </w:tc>
      </w:tr>
      <w:tr w:rsidR="00D622BE" w14:paraId="41FF44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6B520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FR-06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F5C59" w14:textId="77777777" w:rsidR="00D622BE" w:rsidRDefault="00000000">
            <w:r>
              <w:rPr>
                <w:rFonts w:ascii="Arial" w:eastAsia="Arial" w:hAnsi="Arial" w:cs="Arial"/>
              </w:rPr>
              <w:t>The system shall route applications below the eligibility threshold to an analyst review queue, with a maximum SLA of 2 business days before a decision must be issued.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6A65D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6E56"/>
                <w:sz w:val="18"/>
                <w:szCs w:val="18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90411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A1A"/>
                <w:sz w:val="18"/>
                <w:szCs w:val="18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DE88E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Phase 3 To-Be map</w:t>
            </w:r>
          </w:p>
        </w:tc>
      </w:tr>
      <w:tr w:rsidR="00D622BE" w14:paraId="3B1738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4CCAC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FR-07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CDA5E" w14:textId="77777777" w:rsidR="00D622BE" w:rsidRDefault="00000000">
            <w:r>
              <w:rPr>
                <w:rFonts w:ascii="Arial" w:eastAsia="Arial" w:hAnsi="Arial" w:cs="Arial"/>
              </w:rPr>
              <w:t>The system shall deliver all decision notifications (approved, declined, pending) via the resident's preferred channel: in-app notification, email, and SMS.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239F7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6E56"/>
                <w:sz w:val="18"/>
                <w:szCs w:val="18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68F45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A1A"/>
                <w:sz w:val="18"/>
                <w:szCs w:val="18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34266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Phase 3 Gap — Postal delay</w:t>
            </w:r>
          </w:p>
        </w:tc>
      </w:tr>
      <w:tr w:rsidR="00D622BE" w14:paraId="65DF4F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85F9C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FR-08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89186" w14:textId="77777777" w:rsidR="00D622BE" w:rsidRDefault="00000000">
            <w:r>
              <w:rPr>
                <w:rFonts w:ascii="Arial" w:eastAsia="Arial" w:hAnsi="Arial" w:cs="Arial"/>
              </w:rPr>
              <w:t>The system shall support online renewal for driver's licences (non-commercial) and vehicle permit stickers using the same portal infrastructure as health card renewals.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3C82D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6E56"/>
                <w:sz w:val="18"/>
                <w:szCs w:val="18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341FC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33806"/>
                <w:sz w:val="18"/>
                <w:szCs w:val="18"/>
              </w:rPr>
              <w:t>Should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74001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Phase 1 Scope — In scope</w:t>
            </w:r>
          </w:p>
        </w:tc>
      </w:tr>
      <w:tr w:rsidR="00D622BE" w14:paraId="44D42D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A8167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FR-09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336BF" w14:textId="77777777" w:rsidR="00D622BE" w:rsidRDefault="00000000">
            <w:r>
              <w:rPr>
                <w:rFonts w:ascii="Arial" w:eastAsia="Arial" w:hAnsi="Arial" w:cs="Arial"/>
              </w:rPr>
              <w:t>The system shall allow residents to track their application status in real time through a self-serve portal dashboard.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7E732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6E56"/>
                <w:sz w:val="18"/>
                <w:szCs w:val="18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D50A5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33806"/>
                <w:sz w:val="18"/>
                <w:szCs w:val="18"/>
              </w:rPr>
              <w:t>Should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B777F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Stakeholder — Resident expectation</w:t>
            </w:r>
          </w:p>
        </w:tc>
      </w:tr>
      <w:tr w:rsidR="00D622BE" w14:paraId="341F1F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C5787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FR-10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686AB" w14:textId="77777777" w:rsidR="00D622BE" w:rsidRDefault="00000000">
            <w:r>
              <w:rPr>
                <w:rFonts w:ascii="Arial" w:eastAsia="Arial" w:hAnsi="Arial" w:cs="Arial"/>
              </w:rPr>
              <w:t>The system shall provide ServiceOntario agents with an assisted-digital pathway to submit applications on behalf of residents who require in-person support.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949E7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6E56"/>
                <w:sz w:val="18"/>
                <w:szCs w:val="18"/>
              </w:rPr>
              <w:t>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4FF75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33806"/>
                <w:sz w:val="18"/>
                <w:szCs w:val="18"/>
              </w:rPr>
              <w:t>Should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8EB7E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Phase 2 — Front-line staff engagement</w:t>
            </w:r>
          </w:p>
        </w:tc>
      </w:tr>
    </w:tbl>
    <w:p w14:paraId="28FF19B2" w14:textId="77777777" w:rsidR="00D622BE" w:rsidRDefault="00D622B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D622BE" w14:paraId="1B068B01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978A9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 NOTE</w:t>
            </w:r>
          </w:p>
        </w:tc>
        <w:tc>
          <w:tcPr>
            <w:tcW w:w="9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D1AB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633806"/>
              </w:rPr>
              <w:t>Notice every requirement is written in plain, testable language. A good requirement can be answered yes or no: either the system does it or it doesn't. Vague requirements like 'the system should be user-friendly' are untestable and cause disputes during UAT. Always write requirements that a tester can verify.</w:t>
            </w:r>
          </w:p>
        </w:tc>
      </w:tr>
    </w:tbl>
    <w:p w14:paraId="650F5ED5" w14:textId="77777777" w:rsidR="00D622BE" w:rsidRDefault="00D622BE">
      <w:pPr>
        <w:spacing w:before="120"/>
      </w:pPr>
    </w:p>
    <w:p w14:paraId="19B5F76F" w14:textId="77777777" w:rsidR="00D622BE" w:rsidRDefault="00000000">
      <w:pPr>
        <w:pBdr>
          <w:bottom w:val="single" w:sz="8" w:space="4" w:color="1A3C6E"/>
        </w:pBdr>
        <w:spacing w:before="320" w:after="160"/>
      </w:pPr>
      <w:r>
        <w:rPr>
          <w:rFonts w:ascii="Arial" w:eastAsia="Arial" w:hAnsi="Arial" w:cs="Arial"/>
          <w:b/>
          <w:bCs/>
          <w:color w:val="1A3C6E"/>
          <w:sz w:val="32"/>
          <w:szCs w:val="32"/>
        </w:rPr>
        <w:t>4. Non-Functional Requirements</w:t>
      </w:r>
    </w:p>
    <w:p w14:paraId="74E21FEF" w14:textId="77777777" w:rsidR="00D622B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Non-functional requirements define HOW the system must perform — its quality attributes. These are frequently under-documented by junior BAs, but they are often what causes government digital projects </w:t>
      </w:r>
      <w:r>
        <w:rPr>
          <w:rFonts w:ascii="Arial" w:eastAsia="Arial" w:hAnsi="Arial" w:cs="Arial"/>
          <w:sz w:val="22"/>
          <w:szCs w:val="22"/>
        </w:rPr>
        <w:lastRenderedPageBreak/>
        <w:t>to fail post-launch. Performance, security, accessibility, and compliance requirements must be captured explicitly.</w:t>
      </w:r>
    </w:p>
    <w:p w14:paraId="21F00006" w14:textId="77777777" w:rsidR="00D622BE" w:rsidRDefault="00D622B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1260"/>
        <w:gridCol w:w="1400"/>
        <w:gridCol w:w="1600"/>
      </w:tblGrid>
      <w:tr w:rsidR="00D622BE" w14:paraId="298943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DA4C0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Req. ID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60090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Requirement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07198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2D9E4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DDB76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Source</w:t>
            </w:r>
          </w:p>
        </w:tc>
      </w:tr>
      <w:tr w:rsidR="00D622BE" w14:paraId="73E389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6A0AA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NFR-01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E588C" w14:textId="77777777" w:rsidR="00D622BE" w:rsidRDefault="00000000">
            <w:r>
              <w:rPr>
                <w:rFonts w:ascii="Arial" w:eastAsia="Arial" w:hAnsi="Arial" w:cs="Arial"/>
              </w:rPr>
              <w:t>The portal shall be available 99.5% of the time (excluding scheduled maintenance windows), measured on a monthly basis.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7D4F1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C3489"/>
                <w:sz w:val="18"/>
                <w:szCs w:val="18"/>
              </w:rPr>
              <w:t>Non-Functional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0F279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A1A"/>
                <w:sz w:val="18"/>
                <w:szCs w:val="18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2EC64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Ontario Digital Service Standard</w:t>
            </w:r>
          </w:p>
        </w:tc>
      </w:tr>
      <w:tr w:rsidR="00D622BE" w14:paraId="619793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AFC6C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NFR-02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2AA80" w14:textId="77777777" w:rsidR="00D622BE" w:rsidRDefault="00000000">
            <w:r>
              <w:rPr>
                <w:rFonts w:ascii="Arial" w:eastAsia="Arial" w:hAnsi="Arial" w:cs="Arial"/>
              </w:rPr>
              <w:t>All personal health information collected and stored by the system must comply with PHIPA (Personal Health Information Protection Act, 2004).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3E6A9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C3489"/>
                <w:sz w:val="18"/>
                <w:szCs w:val="18"/>
              </w:rPr>
              <w:t>Non-Functional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4CC65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A1A"/>
                <w:sz w:val="18"/>
                <w:szCs w:val="18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200DA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Privacy Commissioner · Phase 1 Constraint</w:t>
            </w:r>
          </w:p>
        </w:tc>
      </w:tr>
      <w:tr w:rsidR="00D622BE" w14:paraId="34CB1E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38235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NFR-03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6F62E" w14:textId="77777777" w:rsidR="00D622BE" w:rsidRDefault="00000000">
            <w:r>
              <w:rPr>
                <w:rFonts w:ascii="Arial" w:eastAsia="Arial" w:hAnsi="Arial" w:cs="Arial"/>
              </w:rPr>
              <w:t>The portal shall meet WCAG 2.1 Level AA accessibility standards and comply with the Accessibility for Ontarians with Disabilities Act (AODA).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F3520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C3489"/>
                <w:sz w:val="18"/>
                <w:szCs w:val="18"/>
              </w:rPr>
              <w:t>Non-Functional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5F48C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A1A"/>
                <w:sz w:val="18"/>
                <w:szCs w:val="18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39C96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Phase 1 Objective 5 · AODA Advisor</w:t>
            </w:r>
          </w:p>
        </w:tc>
      </w:tr>
      <w:tr w:rsidR="00D622BE" w14:paraId="15A98C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79A1E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NFR-04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06017" w14:textId="77777777" w:rsidR="00D622BE" w:rsidRDefault="00000000">
            <w:r>
              <w:rPr>
                <w:rFonts w:ascii="Arial" w:eastAsia="Arial" w:hAnsi="Arial" w:cs="Arial"/>
              </w:rPr>
              <w:t>The portal shall be fully bilingual — English and French — across all screens, notifications, and error messages, in compliance with the French Language Services Act.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34179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C3489"/>
                <w:sz w:val="18"/>
                <w:szCs w:val="18"/>
              </w:rPr>
              <w:t>Non-Functional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3A72F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A1A"/>
                <w:sz w:val="18"/>
                <w:szCs w:val="18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182F3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Phase 1 Constraint</w:t>
            </w:r>
          </w:p>
        </w:tc>
      </w:tr>
      <w:tr w:rsidR="00D622BE" w14:paraId="22E898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EBE98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NFR-05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287F6" w14:textId="77777777" w:rsidR="00D622BE" w:rsidRDefault="00000000">
            <w:r>
              <w:rPr>
                <w:rFonts w:ascii="Arial" w:eastAsia="Arial" w:hAnsi="Arial" w:cs="Arial"/>
              </w:rPr>
              <w:t>Application submission pages shall load within 3 seconds on a standard broadband connection and within 6 seconds on a mobile 4G connection.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6D1CA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C3489"/>
                <w:sz w:val="18"/>
                <w:szCs w:val="18"/>
              </w:rPr>
              <w:t>Non-Functional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B2206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33806"/>
                <w:sz w:val="18"/>
                <w:szCs w:val="18"/>
              </w:rPr>
              <w:t>Should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532BE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Ontario Digital Service Standard</w:t>
            </w:r>
          </w:p>
        </w:tc>
      </w:tr>
      <w:tr w:rsidR="00D622BE" w14:paraId="21A957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E0B97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NFR-06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F7280" w14:textId="77777777" w:rsidR="00D622BE" w:rsidRDefault="00000000">
            <w:r>
              <w:rPr>
                <w:rFonts w:ascii="Arial" w:eastAsia="Arial" w:hAnsi="Arial" w:cs="Arial"/>
              </w:rPr>
              <w:t>All data transmission between the resident's device and the ServiceOntario portal shall be encrypted using TLS 1.3 or higher.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87FC0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C3489"/>
                <w:sz w:val="18"/>
                <w:szCs w:val="18"/>
              </w:rPr>
              <w:t>Non-Functional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9CE48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A1A"/>
                <w:sz w:val="18"/>
                <w:szCs w:val="18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B585B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IT Security · ODS</w:t>
            </w:r>
          </w:p>
        </w:tc>
      </w:tr>
      <w:tr w:rsidR="00D622BE" w14:paraId="3D3AA5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9E02E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NFR-07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A2A89" w14:textId="77777777" w:rsidR="00D622BE" w:rsidRDefault="00000000">
            <w:r>
              <w:rPr>
                <w:rFonts w:ascii="Arial" w:eastAsia="Arial" w:hAnsi="Arial" w:cs="Arial"/>
              </w:rPr>
              <w:t>The system shall maintain a complete audit log of all application decisions, scoring outputs, and analyst actions, retained for a minimum of 7 years.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EC446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C3489"/>
                <w:sz w:val="18"/>
                <w:szCs w:val="18"/>
              </w:rPr>
              <w:t>Non-Functional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CB0F5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A1A"/>
                <w:sz w:val="18"/>
                <w:szCs w:val="18"/>
              </w:rPr>
              <w:t>Must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D86D6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PHIPA · Compliance</w:t>
            </w:r>
          </w:p>
        </w:tc>
      </w:tr>
      <w:tr w:rsidR="00D622BE" w14:paraId="27FA30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745B9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NFR-08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A900A" w14:textId="77777777" w:rsidR="00D622BE" w:rsidRDefault="00000000">
            <w:r>
              <w:rPr>
                <w:rFonts w:ascii="Arial" w:eastAsia="Arial" w:hAnsi="Arial" w:cs="Arial"/>
              </w:rPr>
              <w:t>The portal shall be designed to handle a concurrent load of up to 50,000 simultaneous users without performance degradation.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4B48F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C3489"/>
                <w:sz w:val="18"/>
                <w:szCs w:val="18"/>
              </w:rPr>
              <w:t>Non-Functional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FC57D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633806"/>
                <w:sz w:val="18"/>
                <w:szCs w:val="18"/>
              </w:rPr>
              <w:t>Should Have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829D8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IT / ODS — Scalability</w:t>
            </w:r>
          </w:p>
        </w:tc>
      </w:tr>
    </w:tbl>
    <w:p w14:paraId="442BAFE0" w14:textId="77777777" w:rsidR="00D622BE" w:rsidRDefault="00D622B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D622BE" w14:paraId="536AE9C3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70495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 NOTE</w:t>
            </w:r>
          </w:p>
        </w:tc>
        <w:tc>
          <w:tcPr>
            <w:tcW w:w="9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AAA9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633806"/>
              </w:rPr>
              <w:t>NFR-03 (AODA) and NFR-04 (French Language Services Act) are legally mandatory for any Ontario government digital service — not optional. Including them demonstrates you understand the regulatory environment specific to Canada and Ontario government work, which is a genuine differentiator for BA roles in the public sector.</w:t>
            </w:r>
          </w:p>
        </w:tc>
      </w:tr>
    </w:tbl>
    <w:p w14:paraId="4796CBE9" w14:textId="77777777" w:rsidR="00D622BE" w:rsidRDefault="00D622BE">
      <w:pPr>
        <w:spacing w:before="120"/>
      </w:pPr>
    </w:p>
    <w:p w14:paraId="7F197CF6" w14:textId="77777777" w:rsidR="00D622BE" w:rsidRDefault="00000000">
      <w:pPr>
        <w:pBdr>
          <w:bottom w:val="single" w:sz="8" w:space="4" w:color="1A3C6E"/>
        </w:pBdr>
        <w:spacing w:before="320" w:after="160"/>
      </w:pPr>
      <w:r>
        <w:rPr>
          <w:rFonts w:ascii="Arial" w:eastAsia="Arial" w:hAnsi="Arial" w:cs="Arial"/>
          <w:b/>
          <w:bCs/>
          <w:color w:val="1A3C6E"/>
          <w:sz w:val="32"/>
          <w:szCs w:val="32"/>
        </w:rPr>
        <w:t>5. Requirements Traceability</w:t>
      </w:r>
    </w:p>
    <w:p w14:paraId="0FDBE8F9" w14:textId="77777777" w:rsidR="00D622BE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Every requirement in this BRD links back to a specific source — an objective from the Project Charter, a gap identified in the process maps, or a stakeholder concern from the stakeholder register. This traceability matrix ensures nothing was made up arbitrarily and that every requirement has a business justification.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00"/>
        <w:gridCol w:w="3960"/>
      </w:tblGrid>
      <w:tr w:rsidR="00D622BE" w14:paraId="075D6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558D3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Req.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D4B40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Requirement Summary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CC3BA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Traces To</w:t>
            </w:r>
          </w:p>
        </w:tc>
      </w:tr>
      <w:tr w:rsidR="00D622BE" w14:paraId="51389E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7A196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EB59C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Digital application portal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9EB67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Phase 1 Obj. 1 — reduce service time; Phase 3 — no digital channel</w:t>
            </w:r>
          </w:p>
        </w:tc>
      </w:tr>
      <w:tr w:rsidR="00D622BE" w14:paraId="0F15D0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4CF3E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lastRenderedPageBreak/>
              <w:t>FR-02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F2191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Real-time document checklist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77950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Phase 3 — 40% resubmission loop eliminated</w:t>
            </w:r>
          </w:p>
        </w:tc>
      </w:tr>
      <w:tr w:rsidR="00D622BE" w14:paraId="5C3C31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8A6D4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501AF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Bureau API integration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E7B47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Phase 3 — manual bureau pull gap</w:t>
            </w:r>
          </w:p>
        </w:tc>
      </w:tr>
      <w:tr w:rsidR="00D622BE" w14:paraId="60DFC4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10C40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FAB13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Standardised scoring engine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2B7BD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Phase 3 — analyst inconsistency gap; Phase 1 KPI</w:t>
            </w:r>
          </w:p>
        </w:tc>
      </w:tr>
      <w:tr w:rsidR="00D622BE" w14:paraId="6F16F9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4F8FF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10DF4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Auto-approval within 2 hrs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10FC7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Phase 1 KPI — 70% auto-decisioned</w:t>
            </w:r>
          </w:p>
        </w:tc>
      </w:tr>
      <w:tr w:rsidR="00D622BE" w14:paraId="14E039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96E34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FR-07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59FD3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Instant decision notification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140CF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Phase 3 — postal delay gap; Phase 1 Obj. 1</w:t>
            </w:r>
          </w:p>
        </w:tc>
      </w:tr>
      <w:tr w:rsidR="00D622BE" w14:paraId="3DF3FE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1A70A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NFR-02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21375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PHIPA compliance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14DD6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Phase 1 Constraint — PHIPA; Privacy Commissioner stakeholder</w:t>
            </w:r>
          </w:p>
        </w:tc>
      </w:tr>
      <w:tr w:rsidR="00D622BE" w14:paraId="411129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5EC68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NFR-03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B367C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AODA compliance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611AE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Phase 1 Obj. 5 — accessibility; AODA Advisor stakeholder</w:t>
            </w:r>
          </w:p>
        </w:tc>
      </w:tr>
      <w:tr w:rsidR="00D622BE" w14:paraId="1E0FF1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FBB42" w14:textId="77777777" w:rsidR="00D622BE" w:rsidRDefault="00000000">
            <w:r>
              <w:rPr>
                <w:rFonts w:ascii="Arial" w:eastAsia="Arial" w:hAnsi="Arial" w:cs="Arial"/>
                <w:b/>
                <w:bCs/>
                <w:color w:val="1A3C6E"/>
              </w:rPr>
              <w:t>NFR-04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FA0C1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Bilingual (EN/FR)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6D46C" w14:textId="77777777" w:rsidR="00D622BE" w:rsidRDefault="00000000">
            <w:r>
              <w:rPr>
                <w:rFonts w:ascii="Arial" w:eastAsia="Arial" w:hAnsi="Arial" w:cs="Arial"/>
                <w:color w:val="222222"/>
              </w:rPr>
              <w:t>Phase 1 Constraint — French Language Services Act</w:t>
            </w:r>
          </w:p>
        </w:tc>
      </w:tr>
    </w:tbl>
    <w:p w14:paraId="64B37309" w14:textId="77777777" w:rsidR="00D622BE" w:rsidRDefault="00D622B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D622BE" w14:paraId="13FCDFCB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109EB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 NOTE</w:t>
            </w:r>
          </w:p>
        </w:tc>
        <w:tc>
          <w:tcPr>
            <w:tcW w:w="9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5A8E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633806"/>
              </w:rPr>
              <w:t>A traceability matrix is what separates a professional BRD from a list of wishes. In a real project, every requirement must be justifiable. If a stakeholder asks 'why is this in scope?' — this table is your answer. It also protects you when scope creep starts: if someone asks for something not in this table, they need to raise a formal change request.</w:t>
            </w:r>
          </w:p>
        </w:tc>
      </w:tr>
    </w:tbl>
    <w:p w14:paraId="672218EE" w14:textId="77777777" w:rsidR="00D622BE" w:rsidRDefault="00D622BE">
      <w:pPr>
        <w:spacing w:before="120"/>
      </w:pPr>
    </w:p>
    <w:p w14:paraId="2223466B" w14:textId="77777777" w:rsidR="00D622BE" w:rsidRDefault="00000000">
      <w:pPr>
        <w:pBdr>
          <w:bottom w:val="single" w:sz="8" w:space="4" w:color="1A3C6E"/>
        </w:pBdr>
        <w:spacing w:before="320" w:after="160"/>
      </w:pPr>
      <w:r>
        <w:rPr>
          <w:rFonts w:ascii="Arial" w:eastAsia="Arial" w:hAnsi="Arial" w:cs="Arial"/>
          <w:b/>
          <w:bCs/>
          <w:color w:val="1A3C6E"/>
          <w:sz w:val="32"/>
          <w:szCs w:val="32"/>
        </w:rPr>
        <w:t>6. Assumptions &amp; Open Questions</w:t>
      </w:r>
    </w:p>
    <w:p w14:paraId="3E513630" w14:textId="77777777" w:rsidR="00D622BE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A3C6E"/>
          <w:sz w:val="24"/>
          <w:szCs w:val="24"/>
        </w:rPr>
        <w:t>Assumptions</w:t>
      </w:r>
    </w:p>
    <w:p w14:paraId="4C989592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A-01: </w:t>
      </w:r>
      <w:r>
        <w:rPr>
          <w:rFonts w:ascii="Arial" w:eastAsia="Arial" w:hAnsi="Arial" w:cs="Arial"/>
          <w:sz w:val="22"/>
          <w:szCs w:val="22"/>
        </w:rPr>
        <w:t>The existing ServiceOntario identity verification infrastructure supports API extension without full replacement</w:t>
      </w:r>
    </w:p>
    <w:p w14:paraId="14AEDC7B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A-02: </w:t>
      </w:r>
      <w:r>
        <w:rPr>
          <w:rFonts w:ascii="Arial" w:eastAsia="Arial" w:hAnsi="Arial" w:cs="Arial"/>
          <w:sz w:val="22"/>
          <w:szCs w:val="22"/>
        </w:rPr>
        <w:t>Credit bureau data is available via a real-time API at an acceptable cost per query</w:t>
      </w:r>
    </w:p>
    <w:p w14:paraId="134D1761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A-03: </w:t>
      </w:r>
      <w:r>
        <w:rPr>
          <w:rFonts w:ascii="Arial" w:eastAsia="Arial" w:hAnsi="Arial" w:cs="Arial"/>
          <w:sz w:val="22"/>
          <w:szCs w:val="22"/>
        </w:rPr>
        <w:t>The ML scoring model will be built and validated by the internal data science team, not procured externally</w:t>
      </w:r>
    </w:p>
    <w:p w14:paraId="0F869CAA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A-04: </w:t>
      </w:r>
      <w:r>
        <w:rPr>
          <w:rFonts w:ascii="Arial" w:eastAsia="Arial" w:hAnsi="Arial" w:cs="Arial"/>
          <w:sz w:val="22"/>
          <w:szCs w:val="22"/>
        </w:rPr>
        <w:t>Residents without internet access will continue to be served through existing in-person channels — the digital portal is an additional channel, not a replacement</w:t>
      </w:r>
    </w:p>
    <w:p w14:paraId="3A34D09E" w14:textId="77777777" w:rsidR="00D622BE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A3C6E"/>
          <w:sz w:val="24"/>
          <w:szCs w:val="24"/>
        </w:rPr>
        <w:t>Open Questions (to be resolved before build)</w:t>
      </w:r>
    </w:p>
    <w:p w14:paraId="17341358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OQ-01: </w:t>
      </w:r>
      <w:r>
        <w:rPr>
          <w:rFonts w:ascii="Arial" w:eastAsia="Arial" w:hAnsi="Arial" w:cs="Arial"/>
          <w:sz w:val="22"/>
          <w:szCs w:val="22"/>
        </w:rPr>
        <w:t>What is the agreed credit score threshold for auto-approval? (OHIP Program Branch + Risk team to confirm)</w:t>
      </w:r>
    </w:p>
    <w:p w14:paraId="43D6D78F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OQ-02: </w:t>
      </w:r>
      <w:r>
        <w:rPr>
          <w:rFonts w:ascii="Arial" w:eastAsia="Arial" w:hAnsi="Arial" w:cs="Arial"/>
          <w:sz w:val="22"/>
          <w:szCs w:val="22"/>
        </w:rPr>
        <w:t>Will the portal require integration with the federal CRA My Account for income verification? (Out of scope assumption — needs confirmation)</w:t>
      </w:r>
    </w:p>
    <w:p w14:paraId="24185275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OQ-03: </w:t>
      </w:r>
      <w:r>
        <w:rPr>
          <w:rFonts w:ascii="Arial" w:eastAsia="Arial" w:hAnsi="Arial" w:cs="Arial"/>
          <w:sz w:val="22"/>
          <w:szCs w:val="22"/>
        </w:rPr>
        <w:t>What is the data retention policy for uploaded documents? (Privacy Commissioner liaison to advise)</w:t>
      </w:r>
    </w:p>
    <w:p w14:paraId="54200D3F" w14:textId="77777777" w:rsidR="00D622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OQ-04: </w:t>
      </w:r>
      <w:r>
        <w:rPr>
          <w:rFonts w:ascii="Arial" w:eastAsia="Arial" w:hAnsi="Arial" w:cs="Arial"/>
          <w:sz w:val="22"/>
          <w:szCs w:val="22"/>
        </w:rPr>
        <w:t>Will the assisted-digital pathway (FR-10) be included in Phase 1 launch or deferred to Phase 2?</w:t>
      </w:r>
    </w:p>
    <w:p w14:paraId="6CA9134F" w14:textId="77777777" w:rsidR="00D622BE" w:rsidRDefault="00D622B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D622BE" w14:paraId="78B88826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6AD58" w14:textId="77777777" w:rsidR="00D622B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 NOTE</w:t>
            </w:r>
          </w:p>
        </w:tc>
        <w:tc>
          <w:tcPr>
            <w:tcW w:w="9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D551" w14:textId="77777777" w:rsidR="00D622BE" w:rsidRDefault="00000000">
            <w:r>
              <w:rPr>
                <w:rFonts w:ascii="Arial" w:eastAsia="Arial" w:hAnsi="Arial" w:cs="Arial"/>
                <w:i/>
                <w:iCs/>
                <w:color w:val="633806"/>
              </w:rPr>
              <w:t>Open questions are not a sign of weakness — they are a sign of a thorough BA. Every project has unresolved questions at the BRD stage. Documenting them explicitly means they get answered before build, not during. Surprises in development are expensive; surprises in a BRD review meeting are free.</w:t>
            </w:r>
          </w:p>
        </w:tc>
      </w:tr>
    </w:tbl>
    <w:p w14:paraId="5A4C003B" w14:textId="77777777" w:rsidR="00D622BE" w:rsidRDefault="00D622BE">
      <w:pPr>
        <w:spacing w:before="200"/>
      </w:pPr>
    </w:p>
    <w:p w14:paraId="30B1BCF6" w14:textId="77777777" w:rsidR="00D622BE" w:rsidRDefault="00000000">
      <w:pPr>
        <w:pBdr>
          <w:top w:val="single" w:sz="4" w:space="4" w:color="CCCCCC"/>
        </w:pBdr>
        <w:jc w:val="center"/>
      </w:pPr>
      <w:r>
        <w:rPr>
          <w:rFonts w:ascii="Arial" w:eastAsia="Arial" w:hAnsi="Arial" w:cs="Arial"/>
          <w:i/>
          <w:iCs/>
          <w:color w:val="999999"/>
          <w:sz w:val="18"/>
          <w:szCs w:val="18"/>
        </w:rPr>
        <w:t>ServiceOntario Digital Transformation  ·  Business Requirements Document v1.0  ·  BA Portfolio Project — Phase 4 of 5</w:t>
      </w:r>
    </w:p>
    <w:sectPr w:rsidR="00D622BE" w:rsidSect="0027546E">
      <w:pgSz w:w="12240" w:h="15840"/>
      <w:pgMar w:top="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D1662"/>
    <w:multiLevelType w:val="hybridMultilevel"/>
    <w:tmpl w:val="A14439EC"/>
    <w:lvl w:ilvl="0" w:tplc="9C9ECF4E">
      <w:start w:val="1"/>
      <w:numFmt w:val="bullet"/>
      <w:lvlText w:val="•"/>
      <w:lvlJc w:val="left"/>
      <w:pPr>
        <w:ind w:left="480" w:hanging="280"/>
      </w:pPr>
    </w:lvl>
    <w:lvl w:ilvl="1" w:tplc="6484AFA8">
      <w:numFmt w:val="decimal"/>
      <w:lvlText w:val=""/>
      <w:lvlJc w:val="left"/>
    </w:lvl>
    <w:lvl w:ilvl="2" w:tplc="34D4F652">
      <w:numFmt w:val="decimal"/>
      <w:lvlText w:val=""/>
      <w:lvlJc w:val="left"/>
    </w:lvl>
    <w:lvl w:ilvl="3" w:tplc="6C128156">
      <w:numFmt w:val="decimal"/>
      <w:lvlText w:val=""/>
      <w:lvlJc w:val="left"/>
    </w:lvl>
    <w:lvl w:ilvl="4" w:tplc="30FCAB90">
      <w:numFmt w:val="decimal"/>
      <w:lvlText w:val=""/>
      <w:lvlJc w:val="left"/>
    </w:lvl>
    <w:lvl w:ilvl="5" w:tplc="3114513E">
      <w:numFmt w:val="decimal"/>
      <w:lvlText w:val=""/>
      <w:lvlJc w:val="left"/>
    </w:lvl>
    <w:lvl w:ilvl="6" w:tplc="467ECFE6">
      <w:numFmt w:val="decimal"/>
      <w:lvlText w:val=""/>
      <w:lvlJc w:val="left"/>
    </w:lvl>
    <w:lvl w:ilvl="7" w:tplc="4A343DBC">
      <w:numFmt w:val="decimal"/>
      <w:lvlText w:val=""/>
      <w:lvlJc w:val="left"/>
    </w:lvl>
    <w:lvl w:ilvl="8" w:tplc="C4EAE53A">
      <w:numFmt w:val="decimal"/>
      <w:lvlText w:val=""/>
      <w:lvlJc w:val="left"/>
    </w:lvl>
  </w:abstractNum>
  <w:abstractNum w:abstractNumId="1" w15:restartNumberingAfterBreak="0">
    <w:nsid w:val="4C413163"/>
    <w:multiLevelType w:val="hybridMultilevel"/>
    <w:tmpl w:val="DD78E50A"/>
    <w:lvl w:ilvl="0" w:tplc="39E2EF20">
      <w:start w:val="1"/>
      <w:numFmt w:val="bullet"/>
      <w:lvlText w:val="●"/>
      <w:lvlJc w:val="left"/>
      <w:pPr>
        <w:ind w:left="720" w:hanging="360"/>
      </w:pPr>
    </w:lvl>
    <w:lvl w:ilvl="1" w:tplc="472CEA2C">
      <w:start w:val="1"/>
      <w:numFmt w:val="bullet"/>
      <w:lvlText w:val="○"/>
      <w:lvlJc w:val="left"/>
      <w:pPr>
        <w:ind w:left="1440" w:hanging="360"/>
      </w:pPr>
    </w:lvl>
    <w:lvl w:ilvl="2" w:tplc="34808206">
      <w:start w:val="1"/>
      <w:numFmt w:val="bullet"/>
      <w:lvlText w:val="■"/>
      <w:lvlJc w:val="left"/>
      <w:pPr>
        <w:ind w:left="2160" w:hanging="360"/>
      </w:pPr>
    </w:lvl>
    <w:lvl w:ilvl="3" w:tplc="B48C0268">
      <w:start w:val="1"/>
      <w:numFmt w:val="bullet"/>
      <w:lvlText w:val="●"/>
      <w:lvlJc w:val="left"/>
      <w:pPr>
        <w:ind w:left="2880" w:hanging="360"/>
      </w:pPr>
    </w:lvl>
    <w:lvl w:ilvl="4" w:tplc="CC2C4ED4">
      <w:start w:val="1"/>
      <w:numFmt w:val="bullet"/>
      <w:lvlText w:val="○"/>
      <w:lvlJc w:val="left"/>
      <w:pPr>
        <w:ind w:left="3600" w:hanging="360"/>
      </w:pPr>
    </w:lvl>
    <w:lvl w:ilvl="5" w:tplc="995CD3A6">
      <w:start w:val="1"/>
      <w:numFmt w:val="bullet"/>
      <w:lvlText w:val="■"/>
      <w:lvlJc w:val="left"/>
      <w:pPr>
        <w:ind w:left="4320" w:hanging="360"/>
      </w:pPr>
    </w:lvl>
    <w:lvl w:ilvl="6" w:tplc="0388DDEC">
      <w:start w:val="1"/>
      <w:numFmt w:val="bullet"/>
      <w:lvlText w:val="●"/>
      <w:lvlJc w:val="left"/>
      <w:pPr>
        <w:ind w:left="5040" w:hanging="360"/>
      </w:pPr>
    </w:lvl>
    <w:lvl w:ilvl="7" w:tplc="6406B3E0">
      <w:start w:val="1"/>
      <w:numFmt w:val="bullet"/>
      <w:lvlText w:val="●"/>
      <w:lvlJc w:val="left"/>
      <w:pPr>
        <w:ind w:left="5760" w:hanging="360"/>
      </w:pPr>
    </w:lvl>
    <w:lvl w:ilvl="8" w:tplc="1FBCB688">
      <w:start w:val="1"/>
      <w:numFmt w:val="bullet"/>
      <w:lvlText w:val="●"/>
      <w:lvlJc w:val="left"/>
      <w:pPr>
        <w:ind w:left="6480" w:hanging="360"/>
      </w:pPr>
    </w:lvl>
  </w:abstractNum>
  <w:num w:numId="1" w16cid:durableId="713581675">
    <w:abstractNumId w:val="1"/>
    <w:lvlOverride w:ilvl="0">
      <w:startOverride w:val="1"/>
    </w:lvlOverride>
  </w:num>
  <w:num w:numId="2" w16cid:durableId="216163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2BE"/>
    <w:rsid w:val="0027546E"/>
    <w:rsid w:val="00537904"/>
    <w:rsid w:val="00D6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C7069"/>
  <w15:docId w15:val="{39C7139F-59AE-4C7D-A832-1DBC0534E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1616</Words>
  <Characters>9213</Characters>
  <Application>Microsoft Office Word</Application>
  <DocSecurity>0</DocSecurity>
  <Lines>76</Lines>
  <Paragraphs>21</Paragraphs>
  <ScaleCrop>false</ScaleCrop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Aishwarya Senthil</cp:lastModifiedBy>
  <cp:revision>2</cp:revision>
  <dcterms:created xsi:type="dcterms:W3CDTF">2026-06-03T01:19:00Z</dcterms:created>
  <dcterms:modified xsi:type="dcterms:W3CDTF">2026-06-08T19:06:00Z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2bfb0a43-5f9e-4e6d-b001-59bdd955432f</vt:lpwstr>
  </property>
</Properties>
</file>