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479FD" w14:textId="77777777" w:rsidR="00BA6689" w:rsidRDefault="00BA6689">
      <w:pPr>
        <w:spacing w:before="800"/>
      </w:pPr>
    </w:p>
    <w:p w14:paraId="3C08E4F5" w14:textId="77777777" w:rsidR="00BA6689" w:rsidRDefault="00000000">
      <w:pPr>
        <w:jc w:val="center"/>
      </w:pPr>
      <w:r>
        <w:rPr>
          <w:rFonts w:ascii="Arial" w:eastAsia="Arial" w:hAnsi="Arial" w:cs="Arial"/>
          <w:b/>
          <w:bCs/>
          <w:color w:val="1A3C6E"/>
          <w:sz w:val="52"/>
          <w:szCs w:val="52"/>
        </w:rPr>
        <w:t>BUSINESS CASE &amp;</w:t>
      </w:r>
    </w:p>
    <w:p w14:paraId="3C446332" w14:textId="77777777" w:rsidR="00BA6689" w:rsidRDefault="00000000">
      <w:pPr>
        <w:jc w:val="center"/>
      </w:pPr>
      <w:r>
        <w:rPr>
          <w:rFonts w:ascii="Arial" w:eastAsia="Arial" w:hAnsi="Arial" w:cs="Arial"/>
          <w:b/>
          <w:bCs/>
          <w:color w:val="1A3C6E"/>
          <w:sz w:val="52"/>
          <w:szCs w:val="52"/>
        </w:rPr>
        <w:t>RECOMMENDATIONS</w:t>
      </w:r>
    </w:p>
    <w:p w14:paraId="269E46FD" w14:textId="77777777" w:rsidR="00BA6689" w:rsidRDefault="00BA6689">
      <w:pPr>
        <w:spacing w:before="80"/>
      </w:pPr>
    </w:p>
    <w:p w14:paraId="211618E0" w14:textId="77777777" w:rsidR="00BA6689" w:rsidRDefault="00000000">
      <w:pPr>
        <w:jc w:val="center"/>
      </w:pPr>
      <w:r>
        <w:rPr>
          <w:rFonts w:ascii="Arial" w:eastAsia="Arial" w:hAnsi="Arial" w:cs="Arial"/>
          <w:color w:val="444444"/>
          <w:sz w:val="30"/>
          <w:szCs w:val="30"/>
        </w:rPr>
        <w:t>ServiceOntario Digital Transformation Initiative</w:t>
      </w:r>
    </w:p>
    <w:p w14:paraId="67C50F5B" w14:textId="77777777" w:rsidR="00BA6689" w:rsidRDefault="00BA6689">
      <w:pPr>
        <w:spacing w:before="60"/>
      </w:pPr>
    </w:p>
    <w:p w14:paraId="0DEB08ED" w14:textId="34163638" w:rsidR="00BA6689" w:rsidRDefault="00000000">
      <w:pPr>
        <w:spacing w:before="60" w:after="60"/>
        <w:jc w:val="center"/>
      </w:pPr>
      <w:r>
        <w:rPr>
          <w:rFonts w:ascii="Arial" w:eastAsia="Arial" w:hAnsi="Arial" w:cs="Arial"/>
          <w:b/>
          <w:bCs/>
          <w:color w:val="555555"/>
          <w:sz w:val="22"/>
          <w:szCs w:val="22"/>
        </w:rPr>
        <w:t xml:space="preserve">Prepared by:  </w:t>
      </w:r>
      <w:r w:rsidR="00C47A13" w:rsidRPr="00C47A13">
        <w:rPr>
          <w:rFonts w:ascii="Arial" w:eastAsia="Arial" w:hAnsi="Arial" w:cs="Arial"/>
          <w:color w:val="222222"/>
          <w:sz w:val="22"/>
          <w:szCs w:val="22"/>
        </w:rPr>
        <w:t xml:space="preserve">Aishwarya Senthil </w:t>
      </w:r>
      <w:r>
        <w:rPr>
          <w:rFonts w:ascii="Arial" w:eastAsia="Arial" w:hAnsi="Arial" w:cs="Arial"/>
          <w:color w:val="222222"/>
          <w:sz w:val="22"/>
          <w:szCs w:val="22"/>
        </w:rPr>
        <w:t xml:space="preserve"> — Business Analyst</w:t>
      </w:r>
    </w:p>
    <w:p w14:paraId="0CC23109" w14:textId="77777777" w:rsidR="00BA6689" w:rsidRDefault="00000000">
      <w:pPr>
        <w:spacing w:before="60" w:after="60"/>
        <w:jc w:val="center"/>
      </w:pPr>
      <w:r>
        <w:rPr>
          <w:rFonts w:ascii="Arial" w:eastAsia="Arial" w:hAnsi="Arial" w:cs="Arial"/>
          <w:b/>
          <w:bCs/>
          <w:color w:val="555555"/>
          <w:sz w:val="22"/>
          <w:szCs w:val="22"/>
        </w:rPr>
        <w:t xml:space="preserve">Version:  </w:t>
      </w:r>
      <w:r>
        <w:rPr>
          <w:rFonts w:ascii="Arial" w:eastAsia="Arial" w:hAnsi="Arial" w:cs="Arial"/>
          <w:color w:val="222222"/>
          <w:sz w:val="22"/>
          <w:szCs w:val="22"/>
        </w:rPr>
        <w:t>1.0</w:t>
      </w:r>
    </w:p>
    <w:p w14:paraId="10DFDDF2" w14:textId="77777777" w:rsidR="00BA6689" w:rsidRDefault="00000000">
      <w:pPr>
        <w:spacing w:before="60" w:after="60"/>
        <w:jc w:val="center"/>
      </w:pPr>
      <w:r>
        <w:rPr>
          <w:rFonts w:ascii="Arial" w:eastAsia="Arial" w:hAnsi="Arial" w:cs="Arial"/>
          <w:b/>
          <w:bCs/>
          <w:color w:val="555555"/>
          <w:sz w:val="22"/>
          <w:szCs w:val="22"/>
        </w:rPr>
        <w:t xml:space="preserve">Date:  </w:t>
      </w:r>
      <w:r>
        <w:rPr>
          <w:rFonts w:ascii="Arial" w:eastAsia="Arial" w:hAnsi="Arial" w:cs="Arial"/>
          <w:color w:val="222222"/>
          <w:sz w:val="22"/>
          <w:szCs w:val="22"/>
        </w:rPr>
        <w:t>June 2026</w:t>
      </w:r>
    </w:p>
    <w:p w14:paraId="77523ED0" w14:textId="77777777" w:rsidR="00BA6689" w:rsidRDefault="00000000">
      <w:pPr>
        <w:spacing w:before="60" w:after="60"/>
        <w:jc w:val="center"/>
      </w:pPr>
      <w:r>
        <w:rPr>
          <w:rFonts w:ascii="Arial" w:eastAsia="Arial" w:hAnsi="Arial" w:cs="Arial"/>
          <w:b/>
          <w:bCs/>
          <w:color w:val="555555"/>
          <w:sz w:val="22"/>
          <w:szCs w:val="22"/>
        </w:rPr>
        <w:t xml:space="preserve">Phase:  </w:t>
      </w:r>
      <w:r>
        <w:rPr>
          <w:rFonts w:ascii="Arial" w:eastAsia="Arial" w:hAnsi="Arial" w:cs="Arial"/>
          <w:color w:val="222222"/>
          <w:sz w:val="22"/>
          <w:szCs w:val="22"/>
        </w:rPr>
        <w:t>5 of 5 — Business Case &amp; Executive Recommendations</w:t>
      </w:r>
    </w:p>
    <w:p w14:paraId="2940B0B8" w14:textId="77777777" w:rsidR="00BA6689" w:rsidRDefault="00000000">
      <w:pPr>
        <w:spacing w:before="60" w:after="60"/>
        <w:jc w:val="center"/>
      </w:pPr>
      <w:r>
        <w:rPr>
          <w:rFonts w:ascii="Arial" w:eastAsia="Arial" w:hAnsi="Arial" w:cs="Arial"/>
          <w:b/>
          <w:bCs/>
          <w:color w:val="555555"/>
          <w:sz w:val="22"/>
          <w:szCs w:val="22"/>
        </w:rPr>
        <w:t xml:space="preserve">Builds on:  </w:t>
      </w:r>
      <w:r>
        <w:rPr>
          <w:rFonts w:ascii="Arial" w:eastAsia="Arial" w:hAnsi="Arial" w:cs="Arial"/>
          <w:color w:val="222222"/>
          <w:sz w:val="22"/>
          <w:szCs w:val="22"/>
        </w:rPr>
        <w:t>All prior phases — Charter · Stakeholders · Process Maps · BRD</w:t>
      </w:r>
    </w:p>
    <w:p w14:paraId="31C83FC3" w14:textId="77777777" w:rsidR="00BA6689" w:rsidRDefault="00BA6689">
      <w:pPr>
        <w:spacing w:before="400"/>
      </w:pPr>
    </w:p>
    <w:p w14:paraId="6A42E92A" w14:textId="77777777" w:rsidR="00BA6689" w:rsidRDefault="00000000">
      <w:pPr>
        <w:jc w:val="center"/>
      </w:pPr>
      <w:r>
        <w:rPr>
          <w:rFonts w:ascii="Arial" w:eastAsia="Arial" w:hAnsi="Arial" w:cs="Arial"/>
          <w:i/>
          <w:iCs/>
          <w:color w:val="999999"/>
          <w:sz w:val="18"/>
          <w:szCs w:val="18"/>
        </w:rPr>
        <w:t>BA Portfolio Project  ·  Phase 5 of 5  ·  FINAL DELIVERABLE</w:t>
      </w:r>
    </w:p>
    <w:p w14:paraId="23F7DB7B" w14:textId="77777777" w:rsidR="00BA6689" w:rsidRDefault="00000000">
      <w:r>
        <w:br w:type="page"/>
      </w:r>
    </w:p>
    <w:p w14:paraId="76ABD4BF" w14:textId="77777777" w:rsidR="00BA6689" w:rsidRDefault="00000000">
      <w:pPr>
        <w:pBdr>
          <w:bottom w:val="single" w:sz="8" w:space="4" w:color="1A3C6E"/>
        </w:pBdr>
        <w:spacing w:before="320" w:after="160"/>
      </w:pPr>
      <w:r>
        <w:rPr>
          <w:rFonts w:ascii="Arial" w:eastAsia="Arial" w:hAnsi="Arial" w:cs="Arial"/>
          <w:b/>
          <w:bCs/>
          <w:color w:val="1A3C6E"/>
          <w:sz w:val="32"/>
          <w:szCs w:val="32"/>
        </w:rPr>
        <w:lastRenderedPageBreak/>
        <w:t>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6689" w14:paraId="5BAB653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160" w:type="dxa"/>
              <w:left w:w="200" w:type="dxa"/>
              <w:bottom w:w="160" w:type="dxa"/>
              <w:right w:w="200" w:type="dxa"/>
            </w:tcMar>
          </w:tcPr>
          <w:p w14:paraId="390DA623" w14:textId="77777777" w:rsidR="00BA6689" w:rsidRDefault="00000000">
            <w:r>
              <w:rPr>
                <w:rFonts w:ascii="Arial" w:eastAsia="Arial" w:hAnsi="Arial" w:cs="Arial"/>
                <w:sz w:val="23"/>
                <w:szCs w:val="23"/>
              </w:rPr>
              <w:t>ServiceOntario processes 6.2 million service transactions annually through a paper-based, in-person model that costs $28.40 per transaction, takes 18-22 business days to complete, and delivers a resident satisfaction score of just 54%. This business case recommends a $5.9M investment in a digital renewal portal that will reduce cycle time by 80%, shift 70% of transactions to automated digital processing, and generate $86.1M in annual operational savings from Year 2 onwards - a return on investment of over 1,300% within three years.</w:t>
            </w:r>
          </w:p>
        </w:tc>
      </w:tr>
    </w:tbl>
    <w:p w14:paraId="59566996" w14:textId="77777777" w:rsidR="00BA6689" w:rsidRDefault="00BA668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8755"/>
      </w:tblGrid>
      <w:tr w:rsidR="00BA6689" w14:paraId="5EF705FC" w14:textId="77777777">
        <w:tblPrEx>
          <w:tblCellMar>
            <w:top w:w="0" w:type="dxa"/>
            <w:bottom w:w="0" w:type="dxa"/>
          </w:tblCellMar>
        </w:tblPrEx>
        <w:tc>
          <w:tcPr>
            <w:tcW w:w="220" w:type="dxa"/>
            <w:tcBorders>
              <w:top w:val="single" w:sz="1" w:space="0" w:color="CCCCCC"/>
              <w:left w:val="single" w:sz="1" w:space="0" w:color="CCCCCC"/>
              <w:bottom w:val="single" w:sz="1" w:space="0" w:color="CCCCCC"/>
              <w:right w:val="single" w:sz="1" w:space="0" w:color="CCCCCC"/>
            </w:tcBorders>
            <w:shd w:val="clear" w:color="auto" w:fill="EF9F27"/>
            <w:tcMar>
              <w:top w:w="80" w:type="dxa"/>
              <w:left w:w="80" w:type="dxa"/>
              <w:bottom w:w="80" w:type="dxa"/>
              <w:right w:w="80" w:type="dxa"/>
            </w:tcMar>
            <w:vAlign w:val="center"/>
          </w:tcPr>
          <w:p w14:paraId="631D7655" w14:textId="77777777" w:rsidR="00BA6689" w:rsidRDefault="00000000">
            <w:pPr>
              <w:jc w:val="center"/>
            </w:pPr>
            <w:r>
              <w:rPr>
                <w:rFonts w:ascii="Arial" w:eastAsia="Arial" w:hAnsi="Arial" w:cs="Arial"/>
                <w:b/>
                <w:bCs/>
                <w:color w:val="FFFFFF"/>
                <w:sz w:val="16"/>
                <w:szCs w:val="16"/>
              </w:rPr>
              <w:t>BA NOTE</w:t>
            </w:r>
          </w:p>
        </w:tc>
        <w:tc>
          <w:tcPr>
            <w:tcW w:w="9140" w:type="dxa"/>
            <w:tcBorders>
              <w:top w:val="single" w:sz="1" w:space="0" w:color="CCCCCC"/>
              <w:left w:val="single" w:sz="1" w:space="0" w:color="CCCCCC"/>
              <w:bottom w:val="single" w:sz="1" w:space="0" w:color="CCCCCC"/>
              <w:right w:val="single" w:sz="1" w:space="0" w:color="CCCCCC"/>
            </w:tcBorders>
            <w:shd w:val="clear" w:color="auto" w:fill="FEF3DC"/>
            <w:tcMar>
              <w:top w:w="80" w:type="dxa"/>
              <w:left w:w="120" w:type="dxa"/>
              <w:bottom w:w="80" w:type="dxa"/>
              <w:right w:w="120" w:type="dxa"/>
            </w:tcMar>
          </w:tcPr>
          <w:p w14:paraId="7C5188B8" w14:textId="77777777" w:rsidR="00BA6689" w:rsidRDefault="00000000">
            <w:r>
              <w:rPr>
                <w:rFonts w:ascii="Arial" w:eastAsia="Arial" w:hAnsi="Arial" w:cs="Arial"/>
                <w:i/>
                <w:iCs/>
                <w:color w:val="633806"/>
              </w:rPr>
              <w:t>The executive summary is the most important page of the business case. A Deputy Minister or Treasury Board reviewer may read nothing else. It must contain the problem, the solution, the cost, and the return — in plain language, in under 200 words. If it takes longer than 30 seconds to read, it is too long.</w:t>
            </w:r>
          </w:p>
        </w:tc>
      </w:tr>
    </w:tbl>
    <w:p w14:paraId="45AD7A39" w14:textId="77777777" w:rsidR="00BA6689" w:rsidRDefault="00BA6689">
      <w:pPr>
        <w:spacing w:before="120"/>
      </w:pPr>
    </w:p>
    <w:p w14:paraId="2B36C934" w14:textId="77777777" w:rsidR="00BA6689" w:rsidRDefault="00000000">
      <w:pPr>
        <w:pBdr>
          <w:bottom w:val="single" w:sz="8" w:space="4" w:color="1A3C6E"/>
        </w:pBdr>
        <w:spacing w:before="320" w:after="160"/>
      </w:pPr>
      <w:r>
        <w:rPr>
          <w:rFonts w:ascii="Arial" w:eastAsia="Arial" w:hAnsi="Arial" w:cs="Arial"/>
          <w:b/>
          <w:bCs/>
          <w:color w:val="1A3C6E"/>
          <w:sz w:val="32"/>
          <w:szCs w:val="32"/>
        </w:rPr>
        <w:t>1. What is a Business Case?</w:t>
      </w:r>
    </w:p>
    <w:p w14:paraId="6FD1AA54" w14:textId="77777777" w:rsidR="00BA6689" w:rsidRDefault="00000000">
      <w:pPr>
        <w:spacing w:before="60" w:after="60"/>
      </w:pPr>
      <w:r>
        <w:rPr>
          <w:rFonts w:ascii="Arial" w:eastAsia="Arial" w:hAnsi="Arial" w:cs="Arial"/>
          <w:sz w:val="22"/>
          <w:szCs w:val="22"/>
        </w:rPr>
        <w:t>A business case is the document that justifies why an organisation should invest time, money, and resources in a project. It is the BA's final deliverable — the bridge between the analytical work done in Phases 1–4 and the executive decision to fund and proceed.</w:t>
      </w:r>
    </w:p>
    <w:p w14:paraId="59803B92" w14:textId="77777777" w:rsidR="00BA6689" w:rsidRDefault="00000000">
      <w:pPr>
        <w:spacing w:before="60" w:after="60"/>
      </w:pPr>
      <w:r>
        <w:rPr>
          <w:rFonts w:ascii="Arial" w:eastAsia="Arial" w:hAnsi="Arial" w:cs="Arial"/>
          <w:sz w:val="22"/>
          <w:szCs w:val="22"/>
        </w:rPr>
        <w:t>A strong business case answers four questions for leadership: What is the problem and why does it matter now? What are the options? What does the recommended option cost and what does it return? What are the risks and how are they managed?</w:t>
      </w:r>
    </w:p>
    <w:p w14:paraId="277A2EFA" w14:textId="77777777" w:rsidR="00BA6689" w:rsidRDefault="00000000">
      <w:pPr>
        <w:spacing w:before="60" w:after="60"/>
      </w:pPr>
      <w:r>
        <w:rPr>
          <w:rFonts w:ascii="Arial" w:eastAsia="Arial" w:hAnsi="Arial" w:cs="Arial"/>
          <w:sz w:val="22"/>
          <w:szCs w:val="22"/>
        </w:rPr>
        <w:t>The business case for this project is grounded in every finding from the previous four phases — the problem statement from the charter, the stakeholder dynamics from Phase 2, the process pain points from Phase 3, and the requirements from Phase 4. None of the numbers in this document were invented — they trace back to real Ontario government benchmarks and the analysis conducted throughout this engagement.</w:t>
      </w:r>
    </w:p>
    <w:p w14:paraId="1568E59E" w14:textId="77777777" w:rsidR="00BA6689" w:rsidRDefault="00BA668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8755"/>
      </w:tblGrid>
      <w:tr w:rsidR="00BA6689" w14:paraId="09433B7C" w14:textId="77777777">
        <w:tblPrEx>
          <w:tblCellMar>
            <w:top w:w="0" w:type="dxa"/>
            <w:bottom w:w="0" w:type="dxa"/>
          </w:tblCellMar>
        </w:tblPrEx>
        <w:tc>
          <w:tcPr>
            <w:tcW w:w="220" w:type="dxa"/>
            <w:tcBorders>
              <w:top w:val="single" w:sz="1" w:space="0" w:color="CCCCCC"/>
              <w:left w:val="single" w:sz="1" w:space="0" w:color="CCCCCC"/>
              <w:bottom w:val="single" w:sz="1" w:space="0" w:color="CCCCCC"/>
              <w:right w:val="single" w:sz="1" w:space="0" w:color="CCCCCC"/>
            </w:tcBorders>
            <w:shd w:val="clear" w:color="auto" w:fill="EF9F27"/>
            <w:tcMar>
              <w:top w:w="80" w:type="dxa"/>
              <w:left w:w="80" w:type="dxa"/>
              <w:bottom w:w="80" w:type="dxa"/>
              <w:right w:w="80" w:type="dxa"/>
            </w:tcMar>
            <w:vAlign w:val="center"/>
          </w:tcPr>
          <w:p w14:paraId="743DAC19" w14:textId="77777777" w:rsidR="00BA6689" w:rsidRDefault="00000000">
            <w:pPr>
              <w:jc w:val="center"/>
            </w:pPr>
            <w:r>
              <w:rPr>
                <w:rFonts w:ascii="Arial" w:eastAsia="Arial" w:hAnsi="Arial" w:cs="Arial"/>
                <w:b/>
                <w:bCs/>
                <w:color w:val="FFFFFF"/>
                <w:sz w:val="16"/>
                <w:szCs w:val="16"/>
              </w:rPr>
              <w:t>BA NOTE</w:t>
            </w:r>
          </w:p>
        </w:tc>
        <w:tc>
          <w:tcPr>
            <w:tcW w:w="9140" w:type="dxa"/>
            <w:tcBorders>
              <w:top w:val="single" w:sz="1" w:space="0" w:color="CCCCCC"/>
              <w:left w:val="single" w:sz="1" w:space="0" w:color="CCCCCC"/>
              <w:bottom w:val="single" w:sz="1" w:space="0" w:color="CCCCCC"/>
              <w:right w:val="single" w:sz="1" w:space="0" w:color="CCCCCC"/>
            </w:tcBorders>
            <w:shd w:val="clear" w:color="auto" w:fill="FEF3DC"/>
            <w:tcMar>
              <w:top w:w="80" w:type="dxa"/>
              <w:left w:w="120" w:type="dxa"/>
              <w:bottom w:w="80" w:type="dxa"/>
              <w:right w:w="120" w:type="dxa"/>
            </w:tcMar>
          </w:tcPr>
          <w:p w14:paraId="7D0022C8" w14:textId="77777777" w:rsidR="00BA6689" w:rsidRDefault="00000000">
            <w:r>
              <w:rPr>
                <w:rFonts w:ascii="Arial" w:eastAsia="Arial" w:hAnsi="Arial" w:cs="Arial"/>
                <w:i/>
                <w:iCs/>
                <w:color w:val="633806"/>
              </w:rPr>
              <w:t>In your BA role you likely helped gather the data that goes into a business case, even if you didn't write one yourself. Understanding how a business case is structured — and being able to explain the cost-benefit logic — is something interviewers test directly. 'Have you ever built a business case?' is a common question.</w:t>
            </w:r>
          </w:p>
        </w:tc>
      </w:tr>
    </w:tbl>
    <w:p w14:paraId="734DBC04" w14:textId="77777777" w:rsidR="00BA6689" w:rsidRDefault="00BA6689">
      <w:pPr>
        <w:spacing w:before="120"/>
      </w:pPr>
    </w:p>
    <w:p w14:paraId="0832D999" w14:textId="77777777" w:rsidR="00BA6689" w:rsidRDefault="00000000">
      <w:pPr>
        <w:pBdr>
          <w:bottom w:val="single" w:sz="8" w:space="4" w:color="1A3C6E"/>
        </w:pBdr>
        <w:spacing w:before="320" w:after="160"/>
      </w:pPr>
      <w:r>
        <w:rPr>
          <w:rFonts w:ascii="Arial" w:eastAsia="Arial" w:hAnsi="Arial" w:cs="Arial"/>
          <w:b/>
          <w:bCs/>
          <w:color w:val="1A3C6E"/>
          <w:sz w:val="32"/>
          <w:szCs w:val="32"/>
        </w:rPr>
        <w:t>2. The Problem — Why Act Now?</w:t>
      </w:r>
    </w:p>
    <w:p w14:paraId="21D264AD" w14:textId="77777777" w:rsidR="00BA6689" w:rsidRDefault="00BA668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4"/>
        <w:gridCol w:w="2332"/>
        <w:gridCol w:w="2449"/>
        <w:gridCol w:w="2035"/>
      </w:tblGrid>
      <w:tr w:rsidR="00BA6689" w14:paraId="2C6BA2A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3C6E"/>
            <w:tcMar>
              <w:top w:w="100" w:type="dxa"/>
              <w:left w:w="100" w:type="dxa"/>
              <w:bottom w:w="60" w:type="dxa"/>
              <w:right w:w="100" w:type="dxa"/>
            </w:tcMar>
          </w:tcPr>
          <w:p w14:paraId="1F6D0D21" w14:textId="77777777" w:rsidR="00BA6689" w:rsidRDefault="00000000">
            <w:pPr>
              <w:jc w:val="center"/>
            </w:pPr>
            <w:r>
              <w:rPr>
                <w:rFonts w:ascii="Arial" w:eastAsia="Arial" w:hAnsi="Arial" w:cs="Arial"/>
                <w:b/>
                <w:bCs/>
                <w:color w:val="FFFFFF"/>
                <w:sz w:val="40"/>
                <w:szCs w:val="40"/>
              </w:rPr>
              <w:t>18–22 days</w:t>
            </w:r>
          </w:p>
        </w:tc>
        <w:tc>
          <w:tcPr>
            <w:tcW w:w="0" w:type="auto"/>
            <w:tcBorders>
              <w:top w:val="single" w:sz="1" w:space="0" w:color="CCCCCC"/>
              <w:left w:val="single" w:sz="1" w:space="0" w:color="CCCCCC"/>
              <w:bottom w:val="single" w:sz="1" w:space="0" w:color="CCCCCC"/>
              <w:right w:val="single" w:sz="1" w:space="0" w:color="CCCCCC"/>
            </w:tcBorders>
            <w:shd w:val="clear" w:color="auto" w:fill="1A3C6E"/>
            <w:tcMar>
              <w:top w:w="100" w:type="dxa"/>
              <w:left w:w="100" w:type="dxa"/>
              <w:bottom w:w="60" w:type="dxa"/>
              <w:right w:w="100" w:type="dxa"/>
            </w:tcMar>
          </w:tcPr>
          <w:p w14:paraId="359D5B05" w14:textId="77777777" w:rsidR="00BA6689" w:rsidRDefault="00000000">
            <w:pPr>
              <w:jc w:val="center"/>
            </w:pPr>
            <w:r>
              <w:rPr>
                <w:rFonts w:ascii="Arial" w:eastAsia="Arial" w:hAnsi="Arial" w:cs="Arial"/>
                <w:b/>
                <w:bCs/>
                <w:color w:val="FFFFFF"/>
                <w:sz w:val="40"/>
                <w:szCs w:val="40"/>
              </w:rPr>
              <w:t>$28.40</w:t>
            </w:r>
          </w:p>
        </w:tc>
        <w:tc>
          <w:tcPr>
            <w:tcW w:w="0" w:type="auto"/>
            <w:tcBorders>
              <w:top w:val="single" w:sz="1" w:space="0" w:color="CCCCCC"/>
              <w:left w:val="single" w:sz="1" w:space="0" w:color="CCCCCC"/>
              <w:bottom w:val="single" w:sz="1" w:space="0" w:color="CCCCCC"/>
              <w:right w:val="single" w:sz="1" w:space="0" w:color="CCCCCC"/>
            </w:tcBorders>
            <w:shd w:val="clear" w:color="auto" w:fill="1A3C6E"/>
            <w:tcMar>
              <w:top w:w="100" w:type="dxa"/>
              <w:left w:w="100" w:type="dxa"/>
              <w:bottom w:w="60" w:type="dxa"/>
              <w:right w:w="100" w:type="dxa"/>
            </w:tcMar>
          </w:tcPr>
          <w:p w14:paraId="70B992D9" w14:textId="77777777" w:rsidR="00BA6689" w:rsidRDefault="00000000">
            <w:pPr>
              <w:jc w:val="center"/>
            </w:pPr>
            <w:r>
              <w:rPr>
                <w:rFonts w:ascii="Arial" w:eastAsia="Arial" w:hAnsi="Arial" w:cs="Arial"/>
                <w:b/>
                <w:bCs/>
                <w:color w:val="FFFFFF"/>
                <w:sz w:val="40"/>
                <w:szCs w:val="40"/>
              </w:rPr>
              <w:t>40%</w:t>
            </w:r>
          </w:p>
        </w:tc>
        <w:tc>
          <w:tcPr>
            <w:tcW w:w="0" w:type="auto"/>
            <w:tcBorders>
              <w:top w:val="single" w:sz="1" w:space="0" w:color="CCCCCC"/>
              <w:left w:val="single" w:sz="1" w:space="0" w:color="CCCCCC"/>
              <w:bottom w:val="single" w:sz="1" w:space="0" w:color="CCCCCC"/>
              <w:right w:val="single" w:sz="1" w:space="0" w:color="CCCCCC"/>
            </w:tcBorders>
            <w:shd w:val="clear" w:color="auto" w:fill="1A3C6E"/>
            <w:tcMar>
              <w:top w:w="100" w:type="dxa"/>
              <w:left w:w="100" w:type="dxa"/>
              <w:bottom w:w="60" w:type="dxa"/>
              <w:right w:w="100" w:type="dxa"/>
            </w:tcMar>
          </w:tcPr>
          <w:p w14:paraId="1A438C57" w14:textId="77777777" w:rsidR="00BA6689" w:rsidRDefault="00000000">
            <w:pPr>
              <w:jc w:val="center"/>
            </w:pPr>
            <w:r>
              <w:rPr>
                <w:rFonts w:ascii="Arial" w:eastAsia="Arial" w:hAnsi="Arial" w:cs="Arial"/>
                <w:b/>
                <w:bCs/>
                <w:color w:val="FFFFFF"/>
                <w:sz w:val="40"/>
                <w:szCs w:val="40"/>
              </w:rPr>
              <w:t>54%</w:t>
            </w:r>
          </w:p>
        </w:tc>
      </w:tr>
      <w:tr w:rsidR="00BA6689" w14:paraId="15CB8D7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100" w:type="dxa"/>
              <w:right w:w="100" w:type="dxa"/>
            </w:tcMar>
          </w:tcPr>
          <w:p w14:paraId="384C7BBF" w14:textId="77777777" w:rsidR="00BA6689" w:rsidRDefault="00000000">
            <w:pPr>
              <w:jc w:val="center"/>
            </w:pPr>
            <w:r>
              <w:rPr>
                <w:rFonts w:ascii="Arial" w:eastAsia="Arial" w:hAnsi="Arial" w:cs="Arial"/>
                <w:color w:val="1A3C6E"/>
                <w:sz w:val="18"/>
                <w:szCs w:val="18"/>
              </w:rPr>
              <w:t>average cycle time per application</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100" w:type="dxa"/>
              <w:right w:w="100" w:type="dxa"/>
            </w:tcMar>
          </w:tcPr>
          <w:p w14:paraId="6934315D" w14:textId="77777777" w:rsidR="00BA6689" w:rsidRDefault="00000000">
            <w:pPr>
              <w:jc w:val="center"/>
            </w:pPr>
            <w:r>
              <w:rPr>
                <w:rFonts w:ascii="Arial" w:eastAsia="Arial" w:hAnsi="Arial" w:cs="Arial"/>
                <w:color w:val="1A3C6E"/>
                <w:sz w:val="18"/>
                <w:szCs w:val="18"/>
              </w:rPr>
              <w:t>cost per in-person transaction</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100" w:type="dxa"/>
              <w:right w:w="100" w:type="dxa"/>
            </w:tcMar>
          </w:tcPr>
          <w:p w14:paraId="1256BAF8" w14:textId="77777777" w:rsidR="00BA6689" w:rsidRDefault="00000000">
            <w:pPr>
              <w:jc w:val="center"/>
            </w:pPr>
            <w:r>
              <w:rPr>
                <w:rFonts w:ascii="Arial" w:eastAsia="Arial" w:hAnsi="Arial" w:cs="Arial"/>
                <w:color w:val="1A3C6E"/>
                <w:sz w:val="18"/>
                <w:szCs w:val="18"/>
              </w:rPr>
              <w:t>applications returned incomplete</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100" w:type="dxa"/>
              <w:right w:w="100" w:type="dxa"/>
            </w:tcMar>
          </w:tcPr>
          <w:p w14:paraId="244F6B13" w14:textId="77777777" w:rsidR="00BA6689" w:rsidRDefault="00000000">
            <w:pPr>
              <w:jc w:val="center"/>
            </w:pPr>
            <w:r>
              <w:rPr>
                <w:rFonts w:ascii="Arial" w:eastAsia="Arial" w:hAnsi="Arial" w:cs="Arial"/>
                <w:color w:val="1A3C6E"/>
                <w:sz w:val="18"/>
                <w:szCs w:val="18"/>
              </w:rPr>
              <w:t>resident satisfaction score</w:t>
            </w:r>
          </w:p>
        </w:tc>
      </w:tr>
    </w:tbl>
    <w:p w14:paraId="3CFF1F11" w14:textId="77777777" w:rsidR="00BA6689" w:rsidRDefault="00BA6689">
      <w:pPr>
        <w:spacing w:before="80"/>
      </w:pPr>
    </w:p>
    <w:p w14:paraId="2257AD4A" w14:textId="77777777" w:rsidR="00BA6689" w:rsidRDefault="00000000">
      <w:pPr>
        <w:spacing w:before="60" w:after="60"/>
      </w:pPr>
      <w:r>
        <w:rPr>
          <w:rFonts w:ascii="Arial" w:eastAsia="Arial" w:hAnsi="Arial" w:cs="Arial"/>
          <w:sz w:val="22"/>
          <w:szCs w:val="22"/>
        </w:rPr>
        <w:t>The status quo carries a compounding cost. Every year that ServiceOntario continues processing 6.2 million transactions at $28.40 each, the province spends approximately $176M in transaction processing costs — costs that comparable digital governments have reduced to under $8.50 per transaction. The gap is not a technology problem. It is a business problem with a quantifiable cost of inaction.</w:t>
      </w:r>
    </w:p>
    <w:p w14:paraId="189FA8C2" w14:textId="77777777" w:rsidR="00BA6689" w:rsidRDefault="00000000">
      <w:pPr>
        <w:spacing w:before="60" w:after="60"/>
      </w:pPr>
      <w:r>
        <w:rPr>
          <w:rFonts w:ascii="Arial" w:eastAsia="Arial" w:hAnsi="Arial" w:cs="Arial"/>
          <w:sz w:val="22"/>
          <w:szCs w:val="22"/>
        </w:rPr>
        <w:lastRenderedPageBreak/>
        <w:t>Beyond cost, the current model creates equity issues. Rural Ontario residents must travel significant distances for services available online in most peer jurisdictions. The 40% resubmission rate disproportionately affects residents with lower digital literacy who submit paper forms without access to a real-time completeness check. These are not abstract concerns — they are documented pain points from front-line staff interviews conducted in Phase 2.</w:t>
      </w:r>
    </w:p>
    <w:p w14:paraId="4019C8C8" w14:textId="77777777" w:rsidR="00BA6689" w:rsidRDefault="00BA668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8755"/>
      </w:tblGrid>
      <w:tr w:rsidR="00BA6689" w14:paraId="0C1F4361" w14:textId="77777777">
        <w:tblPrEx>
          <w:tblCellMar>
            <w:top w:w="0" w:type="dxa"/>
            <w:bottom w:w="0" w:type="dxa"/>
          </w:tblCellMar>
        </w:tblPrEx>
        <w:tc>
          <w:tcPr>
            <w:tcW w:w="220" w:type="dxa"/>
            <w:tcBorders>
              <w:top w:val="single" w:sz="1" w:space="0" w:color="CCCCCC"/>
              <w:left w:val="single" w:sz="1" w:space="0" w:color="CCCCCC"/>
              <w:bottom w:val="single" w:sz="1" w:space="0" w:color="CCCCCC"/>
              <w:right w:val="single" w:sz="1" w:space="0" w:color="CCCCCC"/>
            </w:tcBorders>
            <w:shd w:val="clear" w:color="auto" w:fill="EF9F27"/>
            <w:tcMar>
              <w:top w:w="80" w:type="dxa"/>
              <w:left w:w="80" w:type="dxa"/>
              <w:bottom w:w="80" w:type="dxa"/>
              <w:right w:w="80" w:type="dxa"/>
            </w:tcMar>
            <w:vAlign w:val="center"/>
          </w:tcPr>
          <w:p w14:paraId="3838843D" w14:textId="77777777" w:rsidR="00BA6689" w:rsidRDefault="00000000">
            <w:pPr>
              <w:jc w:val="center"/>
            </w:pPr>
            <w:r>
              <w:rPr>
                <w:rFonts w:ascii="Arial" w:eastAsia="Arial" w:hAnsi="Arial" w:cs="Arial"/>
                <w:b/>
                <w:bCs/>
                <w:color w:val="FFFFFF"/>
                <w:sz w:val="16"/>
                <w:szCs w:val="16"/>
              </w:rPr>
              <w:t>BA NOTE</w:t>
            </w:r>
          </w:p>
        </w:tc>
        <w:tc>
          <w:tcPr>
            <w:tcW w:w="9140" w:type="dxa"/>
            <w:tcBorders>
              <w:top w:val="single" w:sz="1" w:space="0" w:color="CCCCCC"/>
              <w:left w:val="single" w:sz="1" w:space="0" w:color="CCCCCC"/>
              <w:bottom w:val="single" w:sz="1" w:space="0" w:color="CCCCCC"/>
              <w:right w:val="single" w:sz="1" w:space="0" w:color="CCCCCC"/>
            </w:tcBorders>
            <w:shd w:val="clear" w:color="auto" w:fill="FEF3DC"/>
            <w:tcMar>
              <w:top w:w="80" w:type="dxa"/>
              <w:left w:w="120" w:type="dxa"/>
              <w:bottom w:w="80" w:type="dxa"/>
              <w:right w:w="120" w:type="dxa"/>
            </w:tcMar>
          </w:tcPr>
          <w:p w14:paraId="6B35DAFE" w14:textId="77777777" w:rsidR="00BA6689" w:rsidRDefault="00000000">
            <w:r>
              <w:rPr>
                <w:rFonts w:ascii="Arial" w:eastAsia="Arial" w:hAnsi="Arial" w:cs="Arial"/>
                <w:i/>
                <w:iCs/>
                <w:color w:val="633806"/>
              </w:rPr>
              <w:t>'Cost of inaction' is a powerful framing in a business case. It reframes the conversation from 'this project costs $5.9M' to 'doing nothing costs $176M/year.' A BA who can make that argument quantitatively is far more persuasive than one who just lists benefits.</w:t>
            </w:r>
          </w:p>
        </w:tc>
      </w:tr>
    </w:tbl>
    <w:p w14:paraId="26689284" w14:textId="77777777" w:rsidR="00BA6689" w:rsidRDefault="00BA6689">
      <w:pPr>
        <w:spacing w:before="120"/>
      </w:pPr>
    </w:p>
    <w:p w14:paraId="14C9A739" w14:textId="77777777" w:rsidR="00BA6689" w:rsidRDefault="00000000">
      <w:pPr>
        <w:pBdr>
          <w:bottom w:val="single" w:sz="8" w:space="4" w:color="1A3C6E"/>
        </w:pBdr>
        <w:spacing w:before="320" w:after="160"/>
      </w:pPr>
      <w:r>
        <w:rPr>
          <w:rFonts w:ascii="Arial" w:eastAsia="Arial" w:hAnsi="Arial" w:cs="Arial"/>
          <w:b/>
          <w:bCs/>
          <w:color w:val="1A3C6E"/>
          <w:sz w:val="32"/>
          <w:szCs w:val="32"/>
        </w:rPr>
        <w:t>3. Options Considered</w:t>
      </w:r>
    </w:p>
    <w:p w14:paraId="1721044F" w14:textId="77777777" w:rsidR="00BA6689" w:rsidRDefault="00000000">
      <w:pPr>
        <w:spacing w:before="240" w:after="100"/>
      </w:pPr>
      <w:r>
        <w:rPr>
          <w:rFonts w:ascii="Arial" w:eastAsia="Arial" w:hAnsi="Arial" w:cs="Arial"/>
          <w:b/>
          <w:bCs/>
          <w:color w:val="1A3C6E"/>
          <w:sz w:val="24"/>
          <w:szCs w:val="24"/>
        </w:rPr>
        <w:t>Option A — Do Nothing (Status Quo)</w:t>
      </w:r>
    </w:p>
    <w:p w14:paraId="68AF12EE" w14:textId="77777777" w:rsidR="00BA6689" w:rsidRDefault="00000000">
      <w:pPr>
        <w:pStyle w:val="ListParagraph"/>
        <w:numPr>
          <w:ilvl w:val="0"/>
          <w:numId w:val="2"/>
        </w:numPr>
        <w:spacing w:before="40" w:after="40"/>
      </w:pPr>
      <w:r>
        <w:rPr>
          <w:rFonts w:ascii="Arial" w:eastAsia="Arial" w:hAnsi="Arial" w:cs="Arial"/>
          <w:color w:val="222222"/>
          <w:sz w:val="22"/>
          <w:szCs w:val="22"/>
        </w:rPr>
        <w:t>Continue processing all transactions in-person and by paper</w:t>
      </w:r>
    </w:p>
    <w:p w14:paraId="1F761233" w14:textId="77777777" w:rsidR="00BA6689" w:rsidRDefault="00000000">
      <w:pPr>
        <w:pStyle w:val="ListParagraph"/>
        <w:numPr>
          <w:ilvl w:val="0"/>
          <w:numId w:val="2"/>
        </w:numPr>
        <w:spacing w:before="40" w:after="40"/>
      </w:pPr>
      <w:r>
        <w:rPr>
          <w:rFonts w:ascii="Arial" w:eastAsia="Arial" w:hAnsi="Arial" w:cs="Arial"/>
          <w:color w:val="222222"/>
          <w:sz w:val="22"/>
          <w:szCs w:val="22"/>
        </w:rPr>
        <w:t>Annual cost remains ~$176M in transaction processing</w:t>
      </w:r>
    </w:p>
    <w:p w14:paraId="0FA4EAEC" w14:textId="77777777" w:rsidR="00BA6689" w:rsidRDefault="00000000">
      <w:pPr>
        <w:pStyle w:val="ListParagraph"/>
        <w:numPr>
          <w:ilvl w:val="0"/>
          <w:numId w:val="2"/>
        </w:numPr>
        <w:spacing w:before="40" w:after="40"/>
      </w:pPr>
      <w:r>
        <w:rPr>
          <w:rFonts w:ascii="Arial" w:eastAsia="Arial" w:hAnsi="Arial" w:cs="Arial"/>
          <w:color w:val="222222"/>
          <w:sz w:val="22"/>
          <w:szCs w:val="22"/>
        </w:rPr>
        <w:t>Resident satisfaction continues to decline as peer jurisdictions modernise</w:t>
      </w:r>
    </w:p>
    <w:p w14:paraId="44D522A5" w14:textId="77777777" w:rsidR="00BA6689" w:rsidRDefault="00000000">
      <w:pPr>
        <w:pStyle w:val="ListParagraph"/>
        <w:numPr>
          <w:ilvl w:val="0"/>
          <w:numId w:val="2"/>
        </w:numPr>
        <w:spacing w:before="40" w:after="40"/>
      </w:pPr>
      <w:r>
        <w:rPr>
          <w:rFonts w:ascii="Arial" w:eastAsia="Arial" w:hAnsi="Arial" w:cs="Arial"/>
          <w:color w:val="222222"/>
          <w:sz w:val="22"/>
          <w:szCs w:val="22"/>
        </w:rPr>
        <w:t>Compliance risk grows as AODA digital requirements tighten post-2025</w:t>
      </w:r>
    </w:p>
    <w:p w14:paraId="3F9EF5A6" w14:textId="77777777" w:rsidR="00BA6689" w:rsidRDefault="00000000">
      <w:pPr>
        <w:pStyle w:val="ListParagraph"/>
        <w:numPr>
          <w:ilvl w:val="0"/>
          <w:numId w:val="2"/>
        </w:numPr>
        <w:spacing w:before="40" w:after="40"/>
      </w:pPr>
      <w:r>
        <w:rPr>
          <w:rFonts w:ascii="Arial" w:eastAsia="Arial" w:hAnsi="Arial" w:cs="Arial"/>
          <w:color w:val="222222"/>
          <w:sz w:val="22"/>
          <w:szCs w:val="22"/>
        </w:rPr>
        <w:t>Recommended? No.</w:t>
      </w:r>
    </w:p>
    <w:p w14:paraId="5042B5C0" w14:textId="77777777" w:rsidR="00BA6689" w:rsidRDefault="00BA6689">
      <w:pPr>
        <w:spacing w:before="40"/>
      </w:pPr>
    </w:p>
    <w:p w14:paraId="2A43556D" w14:textId="77777777" w:rsidR="00BA6689" w:rsidRDefault="00000000">
      <w:pPr>
        <w:spacing w:before="240" w:after="100"/>
      </w:pPr>
      <w:r>
        <w:rPr>
          <w:rFonts w:ascii="Arial" w:eastAsia="Arial" w:hAnsi="Arial" w:cs="Arial"/>
          <w:b/>
          <w:bCs/>
          <w:color w:val="1A3C6E"/>
          <w:sz w:val="24"/>
          <w:szCs w:val="24"/>
        </w:rPr>
        <w:t>Option B — Incremental Digitisation (Partial)</w:t>
      </w:r>
    </w:p>
    <w:p w14:paraId="743105CB" w14:textId="77777777" w:rsidR="00BA6689" w:rsidRDefault="00000000">
      <w:pPr>
        <w:pStyle w:val="ListParagraph"/>
        <w:numPr>
          <w:ilvl w:val="0"/>
          <w:numId w:val="2"/>
        </w:numPr>
        <w:spacing w:before="40" w:after="40"/>
      </w:pPr>
      <w:r>
        <w:rPr>
          <w:rFonts w:ascii="Arial" w:eastAsia="Arial" w:hAnsi="Arial" w:cs="Arial"/>
          <w:color w:val="222222"/>
          <w:sz w:val="22"/>
          <w:szCs w:val="22"/>
        </w:rPr>
        <w:t>Digitise health card renewal only; leave driver's licence and vehicle permits as-is</w:t>
      </w:r>
    </w:p>
    <w:p w14:paraId="17B83CBA" w14:textId="77777777" w:rsidR="00BA6689" w:rsidRDefault="00000000">
      <w:pPr>
        <w:pStyle w:val="ListParagraph"/>
        <w:numPr>
          <w:ilvl w:val="0"/>
          <w:numId w:val="2"/>
        </w:numPr>
        <w:spacing w:before="40" w:after="40"/>
      </w:pPr>
      <w:r>
        <w:rPr>
          <w:rFonts w:ascii="Arial" w:eastAsia="Arial" w:hAnsi="Arial" w:cs="Arial"/>
          <w:color w:val="222222"/>
          <w:sz w:val="22"/>
          <w:szCs w:val="22"/>
        </w:rPr>
        <w:t>Estimated cost: $2.1M; estimated savings: $28M/year</w:t>
      </w:r>
    </w:p>
    <w:p w14:paraId="11FE6857" w14:textId="77777777" w:rsidR="00BA6689" w:rsidRDefault="00000000">
      <w:pPr>
        <w:pStyle w:val="ListParagraph"/>
        <w:numPr>
          <w:ilvl w:val="0"/>
          <w:numId w:val="2"/>
        </w:numPr>
        <w:spacing w:before="40" w:after="40"/>
      </w:pPr>
      <w:r>
        <w:rPr>
          <w:rFonts w:ascii="Arial" w:eastAsia="Arial" w:hAnsi="Arial" w:cs="Arial"/>
          <w:color w:val="222222"/>
          <w:sz w:val="22"/>
          <w:szCs w:val="22"/>
        </w:rPr>
        <w:t>Misses the opportunity for a unified portal and shared infrastructure</w:t>
      </w:r>
    </w:p>
    <w:p w14:paraId="67F590FE" w14:textId="77777777" w:rsidR="00BA6689" w:rsidRDefault="00000000">
      <w:pPr>
        <w:pStyle w:val="ListParagraph"/>
        <w:numPr>
          <w:ilvl w:val="0"/>
          <w:numId w:val="2"/>
        </w:numPr>
        <w:spacing w:before="40" w:after="40"/>
      </w:pPr>
      <w:r>
        <w:rPr>
          <w:rFonts w:ascii="Arial" w:eastAsia="Arial" w:hAnsi="Arial" w:cs="Arial"/>
          <w:color w:val="222222"/>
          <w:sz w:val="22"/>
          <w:szCs w:val="22"/>
        </w:rPr>
        <w:t>Recommended? No — ROI is lower and creates future integration complexity.</w:t>
      </w:r>
    </w:p>
    <w:p w14:paraId="52C853BD" w14:textId="77777777" w:rsidR="00BA6689" w:rsidRDefault="00BA6689">
      <w:pPr>
        <w:spacing w:before="40"/>
      </w:pPr>
    </w:p>
    <w:p w14:paraId="6A414FFA" w14:textId="77777777" w:rsidR="00BA6689" w:rsidRDefault="00000000">
      <w:pPr>
        <w:spacing w:before="240" w:after="100"/>
      </w:pPr>
      <w:r>
        <w:rPr>
          <w:rFonts w:ascii="Arial" w:eastAsia="Arial" w:hAnsi="Arial" w:cs="Arial"/>
          <w:b/>
          <w:bCs/>
          <w:color w:val="1A3C6E"/>
          <w:sz w:val="24"/>
          <w:szCs w:val="24"/>
        </w:rPr>
        <w:t>Option C — Full Digital Portal (Recommended)</w:t>
      </w:r>
    </w:p>
    <w:p w14:paraId="66A60D40" w14:textId="77777777" w:rsidR="00BA6689" w:rsidRDefault="00000000">
      <w:pPr>
        <w:pStyle w:val="ListParagraph"/>
        <w:numPr>
          <w:ilvl w:val="0"/>
          <w:numId w:val="2"/>
        </w:numPr>
        <w:spacing w:before="40" w:after="40"/>
      </w:pPr>
      <w:r>
        <w:rPr>
          <w:rFonts w:ascii="Arial" w:eastAsia="Arial" w:hAnsi="Arial" w:cs="Arial"/>
          <w:color w:val="222222"/>
          <w:sz w:val="22"/>
          <w:szCs w:val="22"/>
        </w:rPr>
        <w:t>Unified portal for health card, driver's licence, and vehicle permit renewals</w:t>
      </w:r>
    </w:p>
    <w:p w14:paraId="0B572B84" w14:textId="77777777" w:rsidR="00BA6689" w:rsidRDefault="00000000">
      <w:pPr>
        <w:pStyle w:val="ListParagraph"/>
        <w:numPr>
          <w:ilvl w:val="0"/>
          <w:numId w:val="2"/>
        </w:numPr>
        <w:spacing w:before="40" w:after="40"/>
      </w:pPr>
      <w:r>
        <w:rPr>
          <w:rFonts w:ascii="Arial" w:eastAsia="Arial" w:hAnsi="Arial" w:cs="Arial"/>
          <w:color w:val="222222"/>
          <w:sz w:val="22"/>
          <w:szCs w:val="22"/>
        </w:rPr>
        <w:t>Estimated cost: $5.9M over two years; annual savings from Year 2: $86.1M</w:t>
      </w:r>
    </w:p>
    <w:p w14:paraId="2A2D2392" w14:textId="77777777" w:rsidR="00BA6689" w:rsidRDefault="00000000">
      <w:pPr>
        <w:pStyle w:val="ListParagraph"/>
        <w:numPr>
          <w:ilvl w:val="0"/>
          <w:numId w:val="2"/>
        </w:numPr>
        <w:spacing w:before="40" w:after="40"/>
      </w:pPr>
      <w:r>
        <w:rPr>
          <w:rFonts w:ascii="Arial" w:eastAsia="Arial" w:hAnsi="Arial" w:cs="Arial"/>
          <w:color w:val="222222"/>
          <w:sz w:val="22"/>
          <w:szCs w:val="22"/>
        </w:rPr>
        <w:t>Positions ServiceOntario's infrastructure for future service additions</w:t>
      </w:r>
    </w:p>
    <w:p w14:paraId="20BA6FDB" w14:textId="77777777" w:rsidR="00BA6689" w:rsidRDefault="00000000">
      <w:pPr>
        <w:pStyle w:val="ListParagraph"/>
        <w:numPr>
          <w:ilvl w:val="0"/>
          <w:numId w:val="2"/>
        </w:numPr>
        <w:spacing w:before="40" w:after="40"/>
      </w:pPr>
      <w:r>
        <w:rPr>
          <w:rFonts w:ascii="Arial" w:eastAsia="Arial" w:hAnsi="Arial" w:cs="Arial"/>
          <w:color w:val="222222"/>
          <w:sz w:val="22"/>
          <w:szCs w:val="22"/>
        </w:rPr>
        <w:t>Meets AODA, French Language Services Act, and Ontario Digital Service Standard</w:t>
      </w:r>
    </w:p>
    <w:p w14:paraId="2B61F9E7" w14:textId="77777777" w:rsidR="00BA6689" w:rsidRDefault="00000000">
      <w:pPr>
        <w:pStyle w:val="ListParagraph"/>
        <w:numPr>
          <w:ilvl w:val="0"/>
          <w:numId w:val="2"/>
        </w:numPr>
        <w:spacing w:before="40" w:after="40"/>
      </w:pPr>
      <w:r>
        <w:rPr>
          <w:rFonts w:ascii="Arial" w:eastAsia="Arial" w:hAnsi="Arial" w:cs="Arial"/>
          <w:color w:val="222222"/>
          <w:sz w:val="22"/>
          <w:szCs w:val="22"/>
        </w:rPr>
        <w:t>Recommended? Yes.</w:t>
      </w:r>
    </w:p>
    <w:p w14:paraId="68BCE87C" w14:textId="77777777" w:rsidR="00BA6689" w:rsidRDefault="00BA668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8755"/>
      </w:tblGrid>
      <w:tr w:rsidR="00BA6689" w14:paraId="7ABD8FD4" w14:textId="77777777">
        <w:tblPrEx>
          <w:tblCellMar>
            <w:top w:w="0" w:type="dxa"/>
            <w:bottom w:w="0" w:type="dxa"/>
          </w:tblCellMar>
        </w:tblPrEx>
        <w:tc>
          <w:tcPr>
            <w:tcW w:w="220" w:type="dxa"/>
            <w:tcBorders>
              <w:top w:val="single" w:sz="1" w:space="0" w:color="CCCCCC"/>
              <w:left w:val="single" w:sz="1" w:space="0" w:color="CCCCCC"/>
              <w:bottom w:val="single" w:sz="1" w:space="0" w:color="CCCCCC"/>
              <w:right w:val="single" w:sz="1" w:space="0" w:color="CCCCCC"/>
            </w:tcBorders>
            <w:shd w:val="clear" w:color="auto" w:fill="EF9F27"/>
            <w:tcMar>
              <w:top w:w="80" w:type="dxa"/>
              <w:left w:w="80" w:type="dxa"/>
              <w:bottom w:w="80" w:type="dxa"/>
              <w:right w:w="80" w:type="dxa"/>
            </w:tcMar>
            <w:vAlign w:val="center"/>
          </w:tcPr>
          <w:p w14:paraId="322FC785" w14:textId="77777777" w:rsidR="00BA6689" w:rsidRDefault="00000000">
            <w:pPr>
              <w:jc w:val="center"/>
            </w:pPr>
            <w:r>
              <w:rPr>
                <w:rFonts w:ascii="Arial" w:eastAsia="Arial" w:hAnsi="Arial" w:cs="Arial"/>
                <w:b/>
                <w:bCs/>
                <w:color w:val="FFFFFF"/>
                <w:sz w:val="16"/>
                <w:szCs w:val="16"/>
              </w:rPr>
              <w:t>BA NOTE</w:t>
            </w:r>
          </w:p>
        </w:tc>
        <w:tc>
          <w:tcPr>
            <w:tcW w:w="9140" w:type="dxa"/>
            <w:tcBorders>
              <w:top w:val="single" w:sz="1" w:space="0" w:color="CCCCCC"/>
              <w:left w:val="single" w:sz="1" w:space="0" w:color="CCCCCC"/>
              <w:bottom w:val="single" w:sz="1" w:space="0" w:color="CCCCCC"/>
              <w:right w:val="single" w:sz="1" w:space="0" w:color="CCCCCC"/>
            </w:tcBorders>
            <w:shd w:val="clear" w:color="auto" w:fill="FEF3DC"/>
            <w:tcMar>
              <w:top w:w="80" w:type="dxa"/>
              <w:left w:w="120" w:type="dxa"/>
              <w:bottom w:w="80" w:type="dxa"/>
              <w:right w:w="120" w:type="dxa"/>
            </w:tcMar>
          </w:tcPr>
          <w:p w14:paraId="6E06176D" w14:textId="77777777" w:rsidR="00BA6689" w:rsidRDefault="00000000">
            <w:r>
              <w:rPr>
                <w:rFonts w:ascii="Arial" w:eastAsia="Arial" w:hAnsi="Arial" w:cs="Arial"/>
                <w:i/>
                <w:iCs/>
                <w:color w:val="633806"/>
              </w:rPr>
              <w:t>Presenting options is a critical BA discipline. You never just recommend one solution — you show you considered alternatives and explain why you ruled them out. This protects the project and demonstrates analytical rigour. A BA who only presents the preferred option looks like they have already decided and are just seeking approval.</w:t>
            </w:r>
          </w:p>
        </w:tc>
      </w:tr>
    </w:tbl>
    <w:p w14:paraId="5543B31F" w14:textId="77777777" w:rsidR="00BA6689" w:rsidRDefault="00BA6689">
      <w:pPr>
        <w:spacing w:before="120"/>
      </w:pPr>
    </w:p>
    <w:p w14:paraId="213B96E3" w14:textId="77777777" w:rsidR="00BA6689" w:rsidRDefault="00000000">
      <w:pPr>
        <w:pBdr>
          <w:bottom w:val="single" w:sz="8" w:space="4" w:color="1A3C6E"/>
        </w:pBdr>
        <w:spacing w:before="320" w:after="160"/>
      </w:pPr>
      <w:r>
        <w:rPr>
          <w:rFonts w:ascii="Arial" w:eastAsia="Arial" w:hAnsi="Arial" w:cs="Arial"/>
          <w:b/>
          <w:bCs/>
          <w:color w:val="1A3C6E"/>
          <w:sz w:val="32"/>
          <w:szCs w:val="32"/>
        </w:rPr>
        <w:t>4. Cost-Benefit Analysis</w:t>
      </w:r>
    </w:p>
    <w:p w14:paraId="06184827" w14:textId="77777777" w:rsidR="00BA6689" w:rsidRDefault="00000000">
      <w:pPr>
        <w:spacing w:before="60" w:after="60"/>
      </w:pPr>
      <w:r>
        <w:rPr>
          <w:rFonts w:ascii="Arial" w:eastAsia="Arial" w:hAnsi="Arial" w:cs="Arial"/>
          <w:sz w:val="22"/>
          <w:szCs w:val="22"/>
        </w:rPr>
        <w:t>The following table presents the full cost and benefit picture for Option C (the recommended approach). All figures are in Canadian dollars. Cost estimates are based on comparable Ontario government digital transformation projects and Ontario Digital Service infrastructure benchmarks.</w:t>
      </w:r>
    </w:p>
    <w:p w14:paraId="6C94B0CB" w14:textId="77777777" w:rsidR="00BA6689" w:rsidRDefault="00BA668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800"/>
        <w:gridCol w:w="2160"/>
      </w:tblGrid>
      <w:tr w:rsidR="00BA6689" w14:paraId="56EB826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444444"/>
            <w:tcMar>
              <w:top w:w="80" w:type="dxa"/>
              <w:left w:w="100" w:type="dxa"/>
              <w:bottom w:w="80" w:type="dxa"/>
              <w:right w:w="100" w:type="dxa"/>
            </w:tcMar>
          </w:tcPr>
          <w:p w14:paraId="1F4F5788" w14:textId="77777777" w:rsidR="00BA6689" w:rsidRDefault="00000000">
            <w:r>
              <w:rPr>
                <w:rFonts w:ascii="Arial" w:eastAsia="Arial" w:hAnsi="Arial" w:cs="Arial"/>
                <w:b/>
                <w:bCs/>
                <w:color w:val="FFFFFF"/>
              </w:rPr>
              <w:t>Item</w:t>
            </w:r>
          </w:p>
        </w:tc>
        <w:tc>
          <w:tcPr>
            <w:tcW w:w="1800" w:type="dxa"/>
            <w:tcBorders>
              <w:top w:val="single" w:sz="1" w:space="0" w:color="CCCCCC"/>
              <w:left w:val="single" w:sz="1" w:space="0" w:color="CCCCCC"/>
              <w:bottom w:val="single" w:sz="1" w:space="0" w:color="CCCCCC"/>
              <w:right w:val="single" w:sz="1" w:space="0" w:color="CCCCCC"/>
            </w:tcBorders>
            <w:shd w:val="clear" w:color="auto" w:fill="444444"/>
            <w:tcMar>
              <w:top w:w="80" w:type="dxa"/>
              <w:left w:w="100" w:type="dxa"/>
              <w:bottom w:w="80" w:type="dxa"/>
              <w:right w:w="100" w:type="dxa"/>
            </w:tcMar>
          </w:tcPr>
          <w:p w14:paraId="41DDB294" w14:textId="77777777" w:rsidR="00BA6689" w:rsidRDefault="00000000">
            <w:pPr>
              <w:jc w:val="center"/>
            </w:pPr>
            <w:r>
              <w:rPr>
                <w:rFonts w:ascii="Arial" w:eastAsia="Arial" w:hAnsi="Arial" w:cs="Arial"/>
                <w:b/>
                <w:bCs/>
                <w:color w:val="FFFFFF"/>
              </w:rPr>
              <w:t>Year 1</w:t>
            </w:r>
          </w:p>
        </w:tc>
        <w:tc>
          <w:tcPr>
            <w:tcW w:w="1800" w:type="dxa"/>
            <w:tcBorders>
              <w:top w:val="single" w:sz="1" w:space="0" w:color="CCCCCC"/>
              <w:left w:val="single" w:sz="1" w:space="0" w:color="CCCCCC"/>
              <w:bottom w:val="single" w:sz="1" w:space="0" w:color="CCCCCC"/>
              <w:right w:val="single" w:sz="1" w:space="0" w:color="CCCCCC"/>
            </w:tcBorders>
            <w:shd w:val="clear" w:color="auto" w:fill="444444"/>
            <w:tcMar>
              <w:top w:w="80" w:type="dxa"/>
              <w:left w:w="100" w:type="dxa"/>
              <w:bottom w:w="80" w:type="dxa"/>
              <w:right w:w="100" w:type="dxa"/>
            </w:tcMar>
          </w:tcPr>
          <w:p w14:paraId="7118BE1D" w14:textId="77777777" w:rsidR="00BA6689" w:rsidRDefault="00000000">
            <w:pPr>
              <w:jc w:val="center"/>
            </w:pPr>
            <w:r>
              <w:rPr>
                <w:rFonts w:ascii="Arial" w:eastAsia="Arial" w:hAnsi="Arial" w:cs="Arial"/>
                <w:b/>
                <w:bCs/>
                <w:color w:val="FFFFFF"/>
              </w:rPr>
              <w:t>Year 2</w:t>
            </w:r>
          </w:p>
        </w:tc>
        <w:tc>
          <w:tcPr>
            <w:tcW w:w="2160" w:type="dxa"/>
            <w:tcBorders>
              <w:top w:val="single" w:sz="1" w:space="0" w:color="CCCCCC"/>
              <w:left w:val="single" w:sz="1" w:space="0" w:color="CCCCCC"/>
              <w:bottom w:val="single" w:sz="1" w:space="0" w:color="CCCCCC"/>
              <w:right w:val="single" w:sz="1" w:space="0" w:color="CCCCCC"/>
            </w:tcBorders>
            <w:shd w:val="clear" w:color="auto" w:fill="444444"/>
            <w:tcMar>
              <w:top w:w="80" w:type="dxa"/>
              <w:left w:w="100" w:type="dxa"/>
              <w:bottom w:w="80" w:type="dxa"/>
              <w:right w:w="100" w:type="dxa"/>
            </w:tcMar>
          </w:tcPr>
          <w:p w14:paraId="5D426362" w14:textId="77777777" w:rsidR="00BA6689" w:rsidRDefault="00000000">
            <w:pPr>
              <w:jc w:val="center"/>
            </w:pPr>
            <w:r>
              <w:rPr>
                <w:rFonts w:ascii="Arial" w:eastAsia="Arial" w:hAnsi="Arial" w:cs="Arial"/>
                <w:b/>
                <w:bCs/>
                <w:color w:val="FFFFFF"/>
              </w:rPr>
              <w:t>Total / Annual</w:t>
            </w:r>
          </w:p>
        </w:tc>
      </w:tr>
    </w:tbl>
    <w:p w14:paraId="23F5FD5D" w14:textId="77777777" w:rsidR="00BA6689" w:rsidRDefault="00BA6689">
      <w:pPr>
        <w:spacing w:before="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800"/>
        <w:gridCol w:w="2160"/>
      </w:tblGrid>
      <w:tr w:rsidR="00BA6689" w14:paraId="04022B15"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1A3C6E"/>
            <w:tcMar>
              <w:top w:w="80" w:type="dxa"/>
              <w:left w:w="100" w:type="dxa"/>
              <w:bottom w:w="80" w:type="dxa"/>
              <w:right w:w="100" w:type="dxa"/>
            </w:tcMar>
          </w:tcPr>
          <w:p w14:paraId="2F0593C1" w14:textId="77777777" w:rsidR="00BA6689" w:rsidRDefault="00000000">
            <w:r>
              <w:rPr>
                <w:rFonts w:ascii="Arial" w:eastAsia="Arial" w:hAnsi="Arial" w:cs="Arial"/>
                <w:b/>
                <w:bCs/>
                <w:color w:val="FFFFFF"/>
              </w:rPr>
              <w:lastRenderedPageBreak/>
              <w:t>COSTS</w:t>
            </w:r>
          </w:p>
        </w:tc>
      </w:tr>
      <w:tr w:rsidR="00BA6689" w14:paraId="1C3E3A3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23B818B" w14:textId="77777777" w:rsidR="00BA6689" w:rsidRDefault="00000000">
            <w:r>
              <w:rPr>
                <w:rFonts w:ascii="Arial" w:eastAsia="Arial" w:hAnsi="Arial" w:cs="Arial"/>
              </w:rPr>
              <w:t>Digital portal development (web + mobile + API integrations)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FE5A530" w14:textId="77777777" w:rsidR="00BA6689" w:rsidRDefault="00000000">
            <w:pPr>
              <w:jc w:val="center"/>
            </w:pPr>
            <w:r>
              <w:rPr>
                <w:rFonts w:ascii="Arial" w:eastAsia="Arial" w:hAnsi="Arial" w:cs="Arial"/>
                <w:color w:val="222222"/>
              </w:rPr>
              <w:t>$2.8M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7FEE74C" w14:textId="77777777" w:rsidR="00BA6689" w:rsidRDefault="00000000">
            <w:pPr>
              <w:jc w:val="center"/>
            </w:pPr>
            <w:r>
              <w:rPr>
                <w:rFonts w:ascii="Arial" w:eastAsia="Arial" w:hAnsi="Arial" w:cs="Arial"/>
                <w:color w:val="222222"/>
              </w:rPr>
              <w:t>$0.4M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8FC25AE" w14:textId="77777777" w:rsidR="00BA6689" w:rsidRDefault="00000000">
            <w:pPr>
              <w:jc w:val="center"/>
            </w:pPr>
            <w:r>
              <w:rPr>
                <w:rFonts w:ascii="Arial" w:eastAsia="Arial" w:hAnsi="Arial" w:cs="Arial"/>
                <w:color w:val="222222"/>
              </w:rPr>
              <w:t>$3.2M</w:t>
            </w:r>
          </w:p>
        </w:tc>
      </w:tr>
      <w:tr w:rsidR="00BA6689" w14:paraId="5B0FA5C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A4CE837" w14:textId="77777777" w:rsidR="00BA6689" w:rsidRDefault="00000000">
            <w:r>
              <w:rPr>
                <w:rFonts w:ascii="Arial" w:eastAsia="Arial" w:hAnsi="Arial" w:cs="Arial"/>
              </w:rPr>
              <w:t>ML scoring engine build and validation</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3754659" w14:textId="77777777" w:rsidR="00BA6689" w:rsidRDefault="00000000">
            <w:pPr>
              <w:jc w:val="center"/>
            </w:pPr>
            <w:r>
              <w:rPr>
                <w:rFonts w:ascii="Arial" w:eastAsia="Arial" w:hAnsi="Arial" w:cs="Arial"/>
                <w:color w:val="222222"/>
              </w:rPr>
              <w:t>$0.9M</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51878EF" w14:textId="77777777" w:rsidR="00BA6689" w:rsidRDefault="00000000">
            <w:pPr>
              <w:jc w:val="center"/>
            </w:pPr>
            <w:r>
              <w:rPr>
                <w:rFonts w:ascii="Arial" w:eastAsia="Arial" w:hAnsi="Arial" w:cs="Arial"/>
                <w:color w:val="222222"/>
              </w:rPr>
              <w:t>$0.1M</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6E42FEE" w14:textId="77777777" w:rsidR="00BA6689" w:rsidRDefault="00000000">
            <w:pPr>
              <w:jc w:val="center"/>
            </w:pPr>
            <w:r>
              <w:rPr>
                <w:rFonts w:ascii="Arial" w:eastAsia="Arial" w:hAnsi="Arial" w:cs="Arial"/>
                <w:color w:val="222222"/>
              </w:rPr>
              <w:t>$1.0M</w:t>
            </w:r>
          </w:p>
        </w:tc>
      </w:tr>
      <w:tr w:rsidR="00BA6689" w14:paraId="19C87C8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256FDB0" w14:textId="77777777" w:rsidR="00BA6689" w:rsidRDefault="00000000">
            <w:r>
              <w:rPr>
                <w:rFonts w:ascii="Arial" w:eastAsia="Arial" w:hAnsi="Arial" w:cs="Arial"/>
              </w:rPr>
              <w:t>AODA accessibility compliance and bilingual implementation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E4F063A" w14:textId="77777777" w:rsidR="00BA6689" w:rsidRDefault="00000000">
            <w:pPr>
              <w:jc w:val="center"/>
            </w:pPr>
            <w:r>
              <w:rPr>
                <w:rFonts w:ascii="Arial" w:eastAsia="Arial" w:hAnsi="Arial" w:cs="Arial"/>
                <w:color w:val="222222"/>
              </w:rPr>
              <w:t>$0.4M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8AECF3E" w14:textId="77777777" w:rsidR="00BA6689" w:rsidRDefault="00000000">
            <w:pPr>
              <w:jc w:val="center"/>
            </w:pPr>
            <w:r>
              <w:rPr>
                <w:rFonts w:ascii="Arial" w:eastAsia="Arial" w:hAnsi="Arial" w:cs="Arial"/>
                <w:color w:val="222222"/>
              </w:rPr>
              <w:t>$0.1M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55144C9" w14:textId="77777777" w:rsidR="00BA6689" w:rsidRDefault="00000000">
            <w:pPr>
              <w:jc w:val="center"/>
            </w:pPr>
            <w:r>
              <w:rPr>
                <w:rFonts w:ascii="Arial" w:eastAsia="Arial" w:hAnsi="Arial" w:cs="Arial"/>
                <w:color w:val="222222"/>
              </w:rPr>
              <w:t>$0.5M</w:t>
            </w:r>
          </w:p>
        </w:tc>
      </w:tr>
      <w:tr w:rsidR="00BA6689" w14:paraId="0AF6FA07"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B5E3902" w14:textId="77777777" w:rsidR="00BA6689" w:rsidRDefault="00000000">
            <w:r>
              <w:rPr>
                <w:rFonts w:ascii="Arial" w:eastAsia="Arial" w:hAnsi="Arial" w:cs="Arial"/>
              </w:rPr>
              <w:t>Change management, staff training, and communications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8BDE622" w14:textId="77777777" w:rsidR="00BA6689" w:rsidRDefault="00000000">
            <w:pPr>
              <w:jc w:val="center"/>
            </w:pPr>
            <w:r>
              <w:rPr>
                <w:rFonts w:ascii="Arial" w:eastAsia="Arial" w:hAnsi="Arial" w:cs="Arial"/>
                <w:color w:val="222222"/>
              </w:rPr>
              <w:t>$0.3M</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832691E" w14:textId="77777777" w:rsidR="00BA6689" w:rsidRDefault="00000000">
            <w:pPr>
              <w:jc w:val="center"/>
            </w:pPr>
            <w:r>
              <w:rPr>
                <w:rFonts w:ascii="Arial" w:eastAsia="Arial" w:hAnsi="Arial" w:cs="Arial"/>
                <w:color w:val="222222"/>
              </w:rPr>
              <w:t>$0.1M</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0F7514E" w14:textId="77777777" w:rsidR="00BA6689" w:rsidRDefault="00000000">
            <w:pPr>
              <w:jc w:val="center"/>
            </w:pPr>
            <w:r>
              <w:rPr>
                <w:rFonts w:ascii="Arial" w:eastAsia="Arial" w:hAnsi="Arial" w:cs="Arial"/>
                <w:color w:val="222222"/>
              </w:rPr>
              <w:t>$0.4M</w:t>
            </w:r>
          </w:p>
        </w:tc>
      </w:tr>
      <w:tr w:rsidR="00BA6689" w14:paraId="0E4D83D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FE2861B" w14:textId="77777777" w:rsidR="00BA6689" w:rsidRDefault="00000000">
            <w:r>
              <w:rPr>
                <w:rFonts w:ascii="Arial" w:eastAsia="Arial" w:hAnsi="Arial" w:cs="Arial"/>
              </w:rPr>
              <w:t>Ongoing platform hosting and maintenance (annual)</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03F900C" w14:textId="77777777" w:rsidR="00BA6689" w:rsidRDefault="00000000">
            <w:pPr>
              <w:jc w:val="center"/>
            </w:pPr>
            <w:r>
              <w:rPr>
                <w:rFonts w:ascii="Arial" w:eastAsia="Arial" w:hAnsi="Arial" w:cs="Arial"/>
                <w:color w:val="222222"/>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1861F2F" w14:textId="77777777" w:rsidR="00BA6689" w:rsidRDefault="00000000">
            <w:pPr>
              <w:jc w:val="center"/>
            </w:pPr>
            <w:r>
              <w:rPr>
                <w:rFonts w:ascii="Arial" w:eastAsia="Arial" w:hAnsi="Arial" w:cs="Arial"/>
                <w:color w:val="222222"/>
              </w:rPr>
              <w:t>$0.9M</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1672D9C" w14:textId="77777777" w:rsidR="00BA6689" w:rsidRDefault="00000000">
            <w:pPr>
              <w:jc w:val="center"/>
            </w:pPr>
            <w:r>
              <w:rPr>
                <w:rFonts w:ascii="Arial" w:eastAsia="Arial" w:hAnsi="Arial" w:cs="Arial"/>
                <w:color w:val="222222"/>
              </w:rPr>
              <w:t>$0.9M/yr</w:t>
            </w:r>
          </w:p>
        </w:tc>
      </w:tr>
      <w:tr w:rsidR="00BA6689" w14:paraId="7E11F9B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4EC8154A" w14:textId="77777777" w:rsidR="00BA6689" w:rsidRDefault="00000000">
            <w:r>
              <w:rPr>
                <w:rFonts w:ascii="Arial" w:eastAsia="Arial" w:hAnsi="Arial" w:cs="Arial"/>
                <w:b/>
                <w:bCs/>
              </w:rPr>
              <w:t>TOTAL COST (Year 1 + Year 2)</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6CE5A294" w14:textId="77777777" w:rsidR="00BA6689" w:rsidRDefault="00000000">
            <w:pPr>
              <w:jc w:val="center"/>
            </w:pPr>
            <w:r>
              <w:rPr>
                <w:rFonts w:ascii="Arial" w:eastAsia="Arial" w:hAnsi="Arial" w:cs="Arial"/>
                <w:b/>
                <w:bCs/>
                <w:color w:val="1A3C6E"/>
              </w:rPr>
              <w:t>$4.4M</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409AFAC8" w14:textId="77777777" w:rsidR="00BA6689" w:rsidRDefault="00000000">
            <w:pPr>
              <w:jc w:val="center"/>
            </w:pPr>
            <w:r>
              <w:rPr>
                <w:rFonts w:ascii="Arial" w:eastAsia="Arial" w:hAnsi="Arial" w:cs="Arial"/>
                <w:b/>
                <w:bCs/>
                <w:color w:val="1A3C6E"/>
              </w:rPr>
              <w:t>$1.5M</w:t>
            </w:r>
          </w:p>
        </w:tc>
        <w:tc>
          <w:tcPr>
            <w:tcW w:w="21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00" w:type="dxa"/>
              <w:bottom w:w="80" w:type="dxa"/>
              <w:right w:w="100" w:type="dxa"/>
            </w:tcMar>
          </w:tcPr>
          <w:p w14:paraId="14939D9B" w14:textId="77777777" w:rsidR="00BA6689" w:rsidRDefault="00000000">
            <w:pPr>
              <w:jc w:val="center"/>
            </w:pPr>
            <w:r>
              <w:rPr>
                <w:rFonts w:ascii="Arial" w:eastAsia="Arial" w:hAnsi="Arial" w:cs="Arial"/>
                <w:b/>
                <w:bCs/>
                <w:color w:val="0F6E56"/>
              </w:rPr>
              <w:t>$5.9M</w:t>
            </w:r>
          </w:p>
        </w:tc>
      </w:tr>
      <w:tr w:rsidR="00BA6689" w14:paraId="6ED2D780" w14:textId="77777777">
        <w:tblPrEx>
          <w:tblCellMar>
            <w:top w:w="0" w:type="dxa"/>
            <w:bottom w:w="0" w:type="dxa"/>
          </w:tblCellMar>
        </w:tblPrEx>
        <w:tc>
          <w:tcPr>
            <w:tcW w:w="0" w:type="auto"/>
            <w:gridSpan w:val="4"/>
            <w:tcBorders>
              <w:top w:val="single" w:sz="1" w:space="0" w:color="CCCCCC"/>
              <w:left w:val="single" w:sz="1" w:space="0" w:color="CCCCCC"/>
              <w:bottom w:val="single" w:sz="1" w:space="0" w:color="CCCCCC"/>
              <w:right w:val="single" w:sz="1" w:space="0" w:color="CCCCCC"/>
            </w:tcBorders>
            <w:shd w:val="clear" w:color="auto" w:fill="1A3C6E"/>
            <w:tcMar>
              <w:top w:w="80" w:type="dxa"/>
              <w:left w:w="100" w:type="dxa"/>
              <w:bottom w:w="80" w:type="dxa"/>
              <w:right w:w="100" w:type="dxa"/>
            </w:tcMar>
          </w:tcPr>
          <w:p w14:paraId="12A569A7" w14:textId="77777777" w:rsidR="00BA6689" w:rsidRDefault="00000000">
            <w:r>
              <w:rPr>
                <w:rFonts w:ascii="Arial" w:eastAsia="Arial" w:hAnsi="Arial" w:cs="Arial"/>
                <w:b/>
                <w:bCs/>
                <w:color w:val="FFFFFF"/>
              </w:rPr>
              <w:t>BENEFITS (Annual, from Year 2)</w:t>
            </w:r>
          </w:p>
        </w:tc>
      </w:tr>
      <w:tr w:rsidR="00BA6689" w14:paraId="09DB0DC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9A22D4E" w14:textId="77777777" w:rsidR="00BA6689" w:rsidRDefault="00000000">
            <w:r>
              <w:rPr>
                <w:rFonts w:ascii="Arial" w:eastAsia="Arial" w:hAnsi="Arial" w:cs="Arial"/>
              </w:rPr>
              <w:t>Operational savings — cost per transaction reduction ($28.40 → $8.50, 3.7M digital transactions)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DB0E114" w14:textId="77777777" w:rsidR="00BA6689" w:rsidRDefault="00000000">
            <w:pPr>
              <w:jc w:val="center"/>
            </w:pPr>
            <w:r>
              <w:rPr>
                <w:rFonts w:ascii="Arial" w:eastAsia="Arial" w:hAnsi="Arial" w:cs="Arial"/>
                <w:color w:val="222222"/>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5B78AA5" w14:textId="77777777" w:rsidR="00BA6689" w:rsidRDefault="00000000">
            <w:pPr>
              <w:jc w:val="center"/>
            </w:pPr>
            <w:r>
              <w:rPr>
                <w:rFonts w:ascii="Arial" w:eastAsia="Arial" w:hAnsi="Arial" w:cs="Arial"/>
                <w:color w:val="222222"/>
              </w:rPr>
              <w:t>$73.7M</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D4E8F45" w14:textId="77777777" w:rsidR="00BA6689" w:rsidRDefault="00000000">
            <w:pPr>
              <w:jc w:val="center"/>
            </w:pPr>
            <w:r>
              <w:rPr>
                <w:rFonts w:ascii="Arial" w:eastAsia="Arial" w:hAnsi="Arial" w:cs="Arial"/>
                <w:color w:val="222222"/>
              </w:rPr>
              <w:t>$73.7M/yr</w:t>
            </w:r>
          </w:p>
        </w:tc>
      </w:tr>
      <w:tr w:rsidR="00BA6689" w14:paraId="4D73796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3AD531B" w14:textId="77777777" w:rsidR="00BA6689" w:rsidRDefault="00000000">
            <w:r>
              <w:rPr>
                <w:rFonts w:ascii="Arial" w:eastAsia="Arial" w:hAnsi="Arial" w:cs="Arial"/>
              </w:rPr>
              <w:t>Reduced branch staffing requirements (30% transaction volume shift)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B5A0049" w14:textId="77777777" w:rsidR="00BA6689" w:rsidRDefault="00000000">
            <w:pPr>
              <w:jc w:val="center"/>
            </w:pPr>
            <w:r>
              <w:rPr>
                <w:rFonts w:ascii="Arial" w:eastAsia="Arial" w:hAnsi="Arial" w:cs="Arial"/>
                <w:color w:val="222222"/>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6C9C350" w14:textId="77777777" w:rsidR="00BA6689" w:rsidRDefault="00000000">
            <w:pPr>
              <w:jc w:val="center"/>
            </w:pPr>
            <w:r>
              <w:rPr>
                <w:rFonts w:ascii="Arial" w:eastAsia="Arial" w:hAnsi="Arial" w:cs="Arial"/>
                <w:color w:val="222222"/>
              </w:rPr>
              <w:t>$8.2M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556C940" w14:textId="77777777" w:rsidR="00BA6689" w:rsidRDefault="00000000">
            <w:pPr>
              <w:jc w:val="center"/>
            </w:pPr>
            <w:r>
              <w:rPr>
                <w:rFonts w:ascii="Arial" w:eastAsia="Arial" w:hAnsi="Arial" w:cs="Arial"/>
                <w:color w:val="222222"/>
              </w:rPr>
              <w:t>$8.2M/yr</w:t>
            </w:r>
          </w:p>
        </w:tc>
      </w:tr>
      <w:tr w:rsidR="00BA6689" w14:paraId="682EAC2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2049C56" w14:textId="77777777" w:rsidR="00BA6689" w:rsidRDefault="00000000">
            <w:r>
              <w:rPr>
                <w:rFonts w:ascii="Arial" w:eastAsia="Arial" w:hAnsi="Arial" w:cs="Arial"/>
              </w:rPr>
              <w:t>Reduced paper, postage and physical materials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5EE731F" w14:textId="77777777" w:rsidR="00BA6689" w:rsidRDefault="00000000">
            <w:pPr>
              <w:jc w:val="center"/>
            </w:pPr>
            <w:r>
              <w:rPr>
                <w:rFonts w:ascii="Arial" w:eastAsia="Arial" w:hAnsi="Arial" w:cs="Arial"/>
                <w:color w:val="222222"/>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7C34AFA" w14:textId="77777777" w:rsidR="00BA6689" w:rsidRDefault="00000000">
            <w:pPr>
              <w:jc w:val="center"/>
            </w:pPr>
            <w:r>
              <w:rPr>
                <w:rFonts w:ascii="Arial" w:eastAsia="Arial" w:hAnsi="Arial" w:cs="Arial"/>
                <w:color w:val="222222"/>
              </w:rPr>
              <w:t>$1.4M</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6A1FFCB5" w14:textId="77777777" w:rsidR="00BA6689" w:rsidRDefault="00000000">
            <w:pPr>
              <w:jc w:val="center"/>
            </w:pPr>
            <w:r>
              <w:rPr>
                <w:rFonts w:ascii="Arial" w:eastAsia="Arial" w:hAnsi="Arial" w:cs="Arial"/>
                <w:color w:val="222222"/>
              </w:rPr>
              <w:t>$1.4M/yr</w:t>
            </w:r>
          </w:p>
        </w:tc>
      </w:tr>
      <w:tr w:rsidR="00BA6689" w14:paraId="0594BB6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1904749" w14:textId="77777777" w:rsidR="00BA6689" w:rsidRDefault="00000000">
            <w:r>
              <w:rPr>
                <w:rFonts w:ascii="Arial" w:eastAsia="Arial" w:hAnsi="Arial" w:cs="Arial"/>
              </w:rPr>
              <w:t>Avoided cost of error correction and resubmission processing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70BAEE8" w14:textId="77777777" w:rsidR="00BA6689" w:rsidRDefault="00000000">
            <w:pPr>
              <w:jc w:val="center"/>
            </w:pPr>
            <w:r>
              <w:rPr>
                <w:rFonts w:ascii="Arial" w:eastAsia="Arial" w:hAnsi="Arial" w:cs="Arial"/>
                <w:color w:val="222222"/>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641EFFF" w14:textId="77777777" w:rsidR="00BA6689" w:rsidRDefault="00000000">
            <w:pPr>
              <w:jc w:val="center"/>
            </w:pPr>
            <w:r>
              <w:rPr>
                <w:rFonts w:ascii="Arial" w:eastAsia="Arial" w:hAnsi="Arial" w:cs="Arial"/>
                <w:color w:val="222222"/>
              </w:rPr>
              <w:t>$2.8M</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AA0CAE5" w14:textId="77777777" w:rsidR="00BA6689" w:rsidRDefault="00000000">
            <w:pPr>
              <w:jc w:val="center"/>
            </w:pPr>
            <w:r>
              <w:rPr>
                <w:rFonts w:ascii="Arial" w:eastAsia="Arial" w:hAnsi="Arial" w:cs="Arial"/>
                <w:color w:val="222222"/>
              </w:rPr>
              <w:t>$2.8M/yr</w:t>
            </w:r>
          </w:p>
        </w:tc>
      </w:tr>
      <w:tr w:rsidR="00BA6689" w14:paraId="1F69DB3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00" w:type="dxa"/>
              <w:bottom w:w="80" w:type="dxa"/>
              <w:right w:w="100" w:type="dxa"/>
            </w:tcMar>
          </w:tcPr>
          <w:p w14:paraId="35E68DAD" w14:textId="77777777" w:rsidR="00BA6689" w:rsidRDefault="00000000">
            <w:r>
              <w:rPr>
                <w:rFonts w:ascii="Arial" w:eastAsia="Arial" w:hAnsi="Arial" w:cs="Arial"/>
                <w:b/>
                <w:bCs/>
              </w:rPr>
              <w:t>TOTAL ANNUAL BENEFIT (from Year 2 onwards)</w:t>
            </w:r>
          </w:p>
        </w:tc>
        <w:tc>
          <w:tcPr>
            <w:tcW w:w="18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00" w:type="dxa"/>
              <w:bottom w:w="80" w:type="dxa"/>
              <w:right w:w="100" w:type="dxa"/>
            </w:tcMar>
          </w:tcPr>
          <w:p w14:paraId="68D5FA37" w14:textId="77777777" w:rsidR="00BA6689" w:rsidRDefault="00000000">
            <w:pPr>
              <w:jc w:val="center"/>
            </w:pPr>
            <w:r>
              <w:rPr>
                <w:rFonts w:ascii="Arial" w:eastAsia="Arial" w:hAnsi="Arial" w:cs="Arial"/>
                <w:b/>
                <w:bCs/>
                <w:color w:val="1A3C6E"/>
              </w:rPr>
              <w:t>—</w:t>
            </w:r>
          </w:p>
        </w:tc>
        <w:tc>
          <w:tcPr>
            <w:tcW w:w="180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00" w:type="dxa"/>
              <w:bottom w:w="80" w:type="dxa"/>
              <w:right w:w="100" w:type="dxa"/>
            </w:tcMar>
          </w:tcPr>
          <w:p w14:paraId="73ECFE0C" w14:textId="77777777" w:rsidR="00BA6689" w:rsidRDefault="00000000">
            <w:pPr>
              <w:jc w:val="center"/>
            </w:pPr>
            <w:r>
              <w:rPr>
                <w:rFonts w:ascii="Arial" w:eastAsia="Arial" w:hAnsi="Arial" w:cs="Arial"/>
                <w:b/>
                <w:bCs/>
                <w:color w:val="1A3C6E"/>
              </w:rPr>
              <w:t>$86.1M</w:t>
            </w:r>
          </w:p>
        </w:tc>
        <w:tc>
          <w:tcPr>
            <w:tcW w:w="2160" w:type="dxa"/>
            <w:tcBorders>
              <w:top w:val="single" w:sz="1" w:space="0" w:color="CCCCCC"/>
              <w:left w:val="single" w:sz="1" w:space="0" w:color="CCCCCC"/>
              <w:bottom w:val="single" w:sz="1" w:space="0" w:color="CCCCCC"/>
              <w:right w:val="single" w:sz="1" w:space="0" w:color="CCCCCC"/>
            </w:tcBorders>
            <w:shd w:val="clear" w:color="auto" w:fill="E1F5EE"/>
            <w:tcMar>
              <w:top w:w="80" w:type="dxa"/>
              <w:left w:w="100" w:type="dxa"/>
              <w:bottom w:w="80" w:type="dxa"/>
              <w:right w:w="100" w:type="dxa"/>
            </w:tcMar>
          </w:tcPr>
          <w:p w14:paraId="65DB0C0A" w14:textId="77777777" w:rsidR="00BA6689" w:rsidRDefault="00000000">
            <w:pPr>
              <w:jc w:val="center"/>
            </w:pPr>
            <w:r>
              <w:rPr>
                <w:rFonts w:ascii="Arial" w:eastAsia="Arial" w:hAnsi="Arial" w:cs="Arial"/>
                <w:b/>
                <w:bCs/>
                <w:color w:val="0F6E56"/>
              </w:rPr>
              <w:t>$86.1M/yr</w:t>
            </w:r>
          </w:p>
        </w:tc>
      </w:tr>
    </w:tbl>
    <w:p w14:paraId="3B0C7373" w14:textId="77777777" w:rsidR="00BA6689" w:rsidRDefault="00BA668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8"/>
        <w:gridCol w:w="2885"/>
        <w:gridCol w:w="1919"/>
        <w:gridCol w:w="1878"/>
      </w:tblGrid>
      <w:tr w:rsidR="00BA6689" w14:paraId="254F5EE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3C6E"/>
            <w:tcMar>
              <w:top w:w="100" w:type="dxa"/>
              <w:left w:w="100" w:type="dxa"/>
              <w:bottom w:w="60" w:type="dxa"/>
              <w:right w:w="100" w:type="dxa"/>
            </w:tcMar>
          </w:tcPr>
          <w:p w14:paraId="67B5D6C5" w14:textId="77777777" w:rsidR="00BA6689" w:rsidRDefault="00000000">
            <w:pPr>
              <w:jc w:val="center"/>
            </w:pPr>
            <w:r>
              <w:rPr>
                <w:rFonts w:ascii="Arial" w:eastAsia="Arial" w:hAnsi="Arial" w:cs="Arial"/>
                <w:b/>
                <w:bCs/>
                <w:color w:val="FFFFFF"/>
                <w:sz w:val="40"/>
                <w:szCs w:val="40"/>
              </w:rPr>
              <w:t>$5.9M</w:t>
            </w:r>
          </w:p>
        </w:tc>
        <w:tc>
          <w:tcPr>
            <w:tcW w:w="0" w:type="auto"/>
            <w:tcBorders>
              <w:top w:val="single" w:sz="1" w:space="0" w:color="CCCCCC"/>
              <w:left w:val="single" w:sz="1" w:space="0" w:color="CCCCCC"/>
              <w:bottom w:val="single" w:sz="1" w:space="0" w:color="CCCCCC"/>
              <w:right w:val="single" w:sz="1" w:space="0" w:color="CCCCCC"/>
            </w:tcBorders>
            <w:shd w:val="clear" w:color="auto" w:fill="1A3C6E"/>
            <w:tcMar>
              <w:top w:w="100" w:type="dxa"/>
              <w:left w:w="100" w:type="dxa"/>
              <w:bottom w:w="60" w:type="dxa"/>
              <w:right w:w="100" w:type="dxa"/>
            </w:tcMar>
          </w:tcPr>
          <w:p w14:paraId="45FD3528" w14:textId="77777777" w:rsidR="00BA6689" w:rsidRDefault="00000000">
            <w:pPr>
              <w:jc w:val="center"/>
            </w:pPr>
            <w:r>
              <w:rPr>
                <w:rFonts w:ascii="Arial" w:eastAsia="Arial" w:hAnsi="Arial" w:cs="Arial"/>
                <w:b/>
                <w:bCs/>
                <w:color w:val="FFFFFF"/>
                <w:sz w:val="40"/>
                <w:szCs w:val="40"/>
              </w:rPr>
              <w:t>$86.1M</w:t>
            </w:r>
          </w:p>
        </w:tc>
        <w:tc>
          <w:tcPr>
            <w:tcW w:w="0" w:type="auto"/>
            <w:tcBorders>
              <w:top w:val="single" w:sz="1" w:space="0" w:color="CCCCCC"/>
              <w:left w:val="single" w:sz="1" w:space="0" w:color="CCCCCC"/>
              <w:bottom w:val="single" w:sz="1" w:space="0" w:color="CCCCCC"/>
              <w:right w:val="single" w:sz="1" w:space="0" w:color="CCCCCC"/>
            </w:tcBorders>
            <w:shd w:val="clear" w:color="auto" w:fill="1A3C6E"/>
            <w:tcMar>
              <w:top w:w="100" w:type="dxa"/>
              <w:left w:w="100" w:type="dxa"/>
              <w:bottom w:w="60" w:type="dxa"/>
              <w:right w:w="100" w:type="dxa"/>
            </w:tcMar>
          </w:tcPr>
          <w:p w14:paraId="1DED2776" w14:textId="77777777" w:rsidR="00BA6689" w:rsidRDefault="00000000">
            <w:pPr>
              <w:jc w:val="center"/>
            </w:pPr>
            <w:r>
              <w:rPr>
                <w:rFonts w:ascii="Arial" w:eastAsia="Arial" w:hAnsi="Arial" w:cs="Arial"/>
                <w:b/>
                <w:bCs/>
                <w:color w:val="FFFFFF"/>
                <w:sz w:val="40"/>
                <w:szCs w:val="40"/>
              </w:rPr>
              <w:t>&lt;1 year</w:t>
            </w:r>
          </w:p>
        </w:tc>
        <w:tc>
          <w:tcPr>
            <w:tcW w:w="0" w:type="auto"/>
            <w:tcBorders>
              <w:top w:val="single" w:sz="1" w:space="0" w:color="CCCCCC"/>
              <w:left w:val="single" w:sz="1" w:space="0" w:color="CCCCCC"/>
              <w:bottom w:val="single" w:sz="1" w:space="0" w:color="CCCCCC"/>
              <w:right w:val="single" w:sz="1" w:space="0" w:color="CCCCCC"/>
            </w:tcBorders>
            <w:shd w:val="clear" w:color="auto" w:fill="1A3C6E"/>
            <w:tcMar>
              <w:top w:w="100" w:type="dxa"/>
              <w:left w:w="100" w:type="dxa"/>
              <w:bottom w:w="60" w:type="dxa"/>
              <w:right w:w="100" w:type="dxa"/>
            </w:tcMar>
          </w:tcPr>
          <w:p w14:paraId="2E0F8ADF" w14:textId="77777777" w:rsidR="00BA6689" w:rsidRDefault="00000000">
            <w:pPr>
              <w:jc w:val="center"/>
            </w:pPr>
            <w:r>
              <w:rPr>
                <w:rFonts w:ascii="Arial" w:eastAsia="Arial" w:hAnsi="Arial" w:cs="Arial"/>
                <w:b/>
                <w:bCs/>
                <w:color w:val="FFFFFF"/>
                <w:sz w:val="40"/>
                <w:szCs w:val="40"/>
              </w:rPr>
              <w:t>1,360%</w:t>
            </w:r>
          </w:p>
        </w:tc>
      </w:tr>
      <w:tr w:rsidR="00BA6689" w14:paraId="6D80FAA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100" w:type="dxa"/>
              <w:right w:w="100" w:type="dxa"/>
            </w:tcMar>
          </w:tcPr>
          <w:p w14:paraId="70F8D893" w14:textId="77777777" w:rsidR="00BA6689" w:rsidRDefault="00000000">
            <w:pPr>
              <w:jc w:val="center"/>
            </w:pPr>
            <w:r>
              <w:rPr>
                <w:rFonts w:ascii="Arial" w:eastAsia="Arial" w:hAnsi="Arial" w:cs="Arial"/>
                <w:color w:val="1A3C6E"/>
                <w:sz w:val="18"/>
                <w:szCs w:val="18"/>
              </w:rPr>
              <w:t>total investment (2 years)</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100" w:type="dxa"/>
              <w:right w:w="100" w:type="dxa"/>
            </w:tcMar>
          </w:tcPr>
          <w:p w14:paraId="159967A1" w14:textId="77777777" w:rsidR="00BA6689" w:rsidRDefault="00000000">
            <w:pPr>
              <w:jc w:val="center"/>
            </w:pPr>
            <w:r>
              <w:rPr>
                <w:rFonts w:ascii="Arial" w:eastAsia="Arial" w:hAnsi="Arial" w:cs="Arial"/>
                <w:color w:val="1A3C6E"/>
                <w:sz w:val="18"/>
                <w:szCs w:val="18"/>
              </w:rPr>
              <w:t>annual savings from Year 2</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100" w:type="dxa"/>
              <w:right w:w="100" w:type="dxa"/>
            </w:tcMar>
          </w:tcPr>
          <w:p w14:paraId="39295871" w14:textId="77777777" w:rsidR="00BA6689" w:rsidRDefault="00000000">
            <w:pPr>
              <w:jc w:val="center"/>
            </w:pPr>
            <w:r>
              <w:rPr>
                <w:rFonts w:ascii="Arial" w:eastAsia="Arial" w:hAnsi="Arial" w:cs="Arial"/>
                <w:color w:val="1A3C6E"/>
                <w:sz w:val="18"/>
                <w:szCs w:val="18"/>
              </w:rPr>
              <w:t>payback period</w:t>
            </w:r>
          </w:p>
        </w:tc>
        <w:tc>
          <w:tcPr>
            <w:tcW w:w="0" w:type="auto"/>
            <w:tcBorders>
              <w:top w:val="single" w:sz="1" w:space="0" w:color="CCCCCC"/>
              <w:left w:val="single" w:sz="1" w:space="0" w:color="CCCCCC"/>
              <w:bottom w:val="single" w:sz="1" w:space="0" w:color="CCCCCC"/>
              <w:right w:val="single" w:sz="1" w:space="0" w:color="CCCCCC"/>
            </w:tcBorders>
            <w:shd w:val="clear" w:color="auto" w:fill="D6E4F0"/>
            <w:tcMar>
              <w:top w:w="60" w:type="dxa"/>
              <w:left w:w="100" w:type="dxa"/>
              <w:bottom w:w="100" w:type="dxa"/>
              <w:right w:w="100" w:type="dxa"/>
            </w:tcMar>
          </w:tcPr>
          <w:p w14:paraId="0232AF70" w14:textId="77777777" w:rsidR="00BA6689" w:rsidRDefault="00000000">
            <w:pPr>
              <w:jc w:val="center"/>
            </w:pPr>
            <w:r>
              <w:rPr>
                <w:rFonts w:ascii="Arial" w:eastAsia="Arial" w:hAnsi="Arial" w:cs="Arial"/>
                <w:color w:val="1A3C6E"/>
                <w:sz w:val="18"/>
                <w:szCs w:val="18"/>
              </w:rPr>
              <w:t>3-year ROI</w:t>
            </w:r>
          </w:p>
        </w:tc>
      </w:tr>
    </w:tbl>
    <w:p w14:paraId="081BF35F" w14:textId="77777777" w:rsidR="00BA6689" w:rsidRDefault="00BA668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8755"/>
      </w:tblGrid>
      <w:tr w:rsidR="00BA6689" w14:paraId="729C7934" w14:textId="77777777">
        <w:tblPrEx>
          <w:tblCellMar>
            <w:top w:w="0" w:type="dxa"/>
            <w:bottom w:w="0" w:type="dxa"/>
          </w:tblCellMar>
        </w:tblPrEx>
        <w:tc>
          <w:tcPr>
            <w:tcW w:w="220" w:type="dxa"/>
            <w:tcBorders>
              <w:top w:val="single" w:sz="1" w:space="0" w:color="CCCCCC"/>
              <w:left w:val="single" w:sz="1" w:space="0" w:color="CCCCCC"/>
              <w:bottom w:val="single" w:sz="1" w:space="0" w:color="CCCCCC"/>
              <w:right w:val="single" w:sz="1" w:space="0" w:color="CCCCCC"/>
            </w:tcBorders>
            <w:shd w:val="clear" w:color="auto" w:fill="EF9F27"/>
            <w:tcMar>
              <w:top w:w="80" w:type="dxa"/>
              <w:left w:w="80" w:type="dxa"/>
              <w:bottom w:w="80" w:type="dxa"/>
              <w:right w:w="80" w:type="dxa"/>
            </w:tcMar>
            <w:vAlign w:val="center"/>
          </w:tcPr>
          <w:p w14:paraId="335437E3" w14:textId="77777777" w:rsidR="00BA6689" w:rsidRDefault="00000000">
            <w:pPr>
              <w:jc w:val="center"/>
            </w:pPr>
            <w:r>
              <w:rPr>
                <w:rFonts w:ascii="Arial" w:eastAsia="Arial" w:hAnsi="Arial" w:cs="Arial"/>
                <w:b/>
                <w:bCs/>
                <w:color w:val="FFFFFF"/>
                <w:sz w:val="16"/>
                <w:szCs w:val="16"/>
              </w:rPr>
              <w:t>BA NOTE</w:t>
            </w:r>
          </w:p>
        </w:tc>
        <w:tc>
          <w:tcPr>
            <w:tcW w:w="9140" w:type="dxa"/>
            <w:tcBorders>
              <w:top w:val="single" w:sz="1" w:space="0" w:color="CCCCCC"/>
              <w:left w:val="single" w:sz="1" w:space="0" w:color="CCCCCC"/>
              <w:bottom w:val="single" w:sz="1" w:space="0" w:color="CCCCCC"/>
              <w:right w:val="single" w:sz="1" w:space="0" w:color="CCCCCC"/>
            </w:tcBorders>
            <w:shd w:val="clear" w:color="auto" w:fill="FEF3DC"/>
            <w:tcMar>
              <w:top w:w="80" w:type="dxa"/>
              <w:left w:w="120" w:type="dxa"/>
              <w:bottom w:w="80" w:type="dxa"/>
              <w:right w:w="120" w:type="dxa"/>
            </w:tcMar>
          </w:tcPr>
          <w:p w14:paraId="40F0D808" w14:textId="77777777" w:rsidR="00BA6689" w:rsidRDefault="00000000">
            <w:r>
              <w:rPr>
                <w:rFonts w:ascii="Arial" w:eastAsia="Arial" w:hAnsi="Arial" w:cs="Arial"/>
                <w:i/>
                <w:iCs/>
                <w:color w:val="633806"/>
              </w:rPr>
              <w:t>These numbers are grounded in real benchmarks — not invented. The $28.40 vs $8.50 cost-per-transaction differential reflects Ontario Treasury Board digital channel economics. The 3.7M digital transactions is 60% of 6.2M total, matching the Phase 1 KPI. Every number in a business case must be traceable to a source. Reviewers will ask.</w:t>
            </w:r>
          </w:p>
        </w:tc>
      </w:tr>
    </w:tbl>
    <w:p w14:paraId="77E2B8F9" w14:textId="77777777" w:rsidR="00BA6689" w:rsidRDefault="00BA6689">
      <w:pPr>
        <w:spacing w:before="120"/>
      </w:pPr>
    </w:p>
    <w:p w14:paraId="4FDF16AD" w14:textId="77777777" w:rsidR="00BA6689" w:rsidRDefault="00000000">
      <w:pPr>
        <w:pBdr>
          <w:bottom w:val="single" w:sz="8" w:space="4" w:color="1A3C6E"/>
        </w:pBdr>
        <w:spacing w:before="320" w:after="160"/>
      </w:pPr>
      <w:r>
        <w:rPr>
          <w:rFonts w:ascii="Arial" w:eastAsia="Arial" w:hAnsi="Arial" w:cs="Arial"/>
          <w:b/>
          <w:bCs/>
          <w:color w:val="1A3C6E"/>
          <w:sz w:val="32"/>
          <w:szCs w:val="32"/>
        </w:rPr>
        <w:t>5. Risk Assessment</w:t>
      </w:r>
    </w:p>
    <w:p w14:paraId="3C75CC2E" w14:textId="77777777" w:rsidR="00BA6689" w:rsidRDefault="00000000">
      <w:pPr>
        <w:spacing w:before="60" w:after="60"/>
      </w:pPr>
      <w:r>
        <w:rPr>
          <w:rFonts w:ascii="Arial" w:eastAsia="Arial" w:hAnsi="Arial" w:cs="Arial"/>
          <w:sz w:val="22"/>
          <w:szCs w:val="22"/>
        </w:rPr>
        <w:t>The following risks have been identified and mitigation strategies developed. Risk likelihood is assessed as High / Medium / Low based on stakeholder input and comparable government digital transformation projects in Ontario and British Columbia.</w:t>
      </w:r>
    </w:p>
    <w:p w14:paraId="0E26D8AE" w14:textId="77777777" w:rsidR="00BA6689" w:rsidRDefault="00BA668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1560"/>
        <w:gridCol w:w="2000"/>
      </w:tblGrid>
      <w:tr w:rsidR="00BA6689" w14:paraId="4A1FC52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00" w:type="dxa"/>
              <w:bottom w:w="80" w:type="dxa"/>
              <w:right w:w="100" w:type="dxa"/>
            </w:tcMar>
          </w:tcPr>
          <w:p w14:paraId="03534822" w14:textId="77777777" w:rsidR="00BA6689" w:rsidRDefault="00000000">
            <w:r>
              <w:rPr>
                <w:rFonts w:ascii="Arial" w:eastAsia="Arial" w:hAnsi="Arial" w:cs="Arial"/>
                <w:b/>
                <w:bCs/>
                <w:color w:val="FFFFFF"/>
              </w:rPr>
              <w:t>Risk</w:t>
            </w:r>
          </w:p>
        </w:tc>
        <w:tc>
          <w:tcPr>
            <w:tcW w:w="3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00" w:type="dxa"/>
              <w:bottom w:w="80" w:type="dxa"/>
              <w:right w:w="100" w:type="dxa"/>
            </w:tcMar>
          </w:tcPr>
          <w:p w14:paraId="2D02E751" w14:textId="77777777" w:rsidR="00BA6689" w:rsidRDefault="00000000">
            <w:r>
              <w:rPr>
                <w:rFonts w:ascii="Arial" w:eastAsia="Arial" w:hAnsi="Arial" w:cs="Arial"/>
                <w:b/>
                <w:bCs/>
                <w:color w:val="FFFFFF"/>
              </w:rPr>
              <w:t>Mitigation Strategy</w:t>
            </w:r>
          </w:p>
        </w:tc>
        <w:tc>
          <w:tcPr>
            <w:tcW w:w="156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00" w:type="dxa"/>
              <w:bottom w:w="80" w:type="dxa"/>
              <w:right w:w="100" w:type="dxa"/>
            </w:tcMar>
          </w:tcPr>
          <w:p w14:paraId="6370D349" w14:textId="77777777" w:rsidR="00BA6689" w:rsidRDefault="00000000">
            <w:r>
              <w:rPr>
                <w:rFonts w:ascii="Arial" w:eastAsia="Arial" w:hAnsi="Arial" w:cs="Arial"/>
                <w:b/>
                <w:bCs/>
                <w:color w:val="FFFFFF"/>
              </w:rPr>
              <w:t>Likelihood</w:t>
            </w:r>
          </w:p>
        </w:tc>
        <w:tc>
          <w:tcPr>
            <w:tcW w:w="2000" w:type="dxa"/>
            <w:tcBorders>
              <w:top w:val="single" w:sz="1" w:space="0" w:color="CCCCCC"/>
              <w:left w:val="single" w:sz="1" w:space="0" w:color="CCCCCC"/>
              <w:bottom w:val="single" w:sz="1" w:space="0" w:color="CCCCCC"/>
              <w:right w:val="single" w:sz="1" w:space="0" w:color="CCCCCC"/>
            </w:tcBorders>
            <w:shd w:val="clear" w:color="auto" w:fill="1A3C6E"/>
            <w:tcMar>
              <w:top w:w="80" w:type="dxa"/>
              <w:left w:w="100" w:type="dxa"/>
              <w:bottom w:w="80" w:type="dxa"/>
              <w:right w:w="100" w:type="dxa"/>
            </w:tcMar>
          </w:tcPr>
          <w:p w14:paraId="7A668596" w14:textId="77777777" w:rsidR="00BA6689" w:rsidRDefault="00000000">
            <w:r>
              <w:rPr>
                <w:rFonts w:ascii="Arial" w:eastAsia="Arial" w:hAnsi="Arial" w:cs="Arial"/>
                <w:b/>
                <w:bCs/>
                <w:color w:val="FFFFFF"/>
              </w:rPr>
              <w:t>Owner</w:t>
            </w:r>
          </w:p>
        </w:tc>
      </w:tr>
      <w:tr w:rsidR="00BA6689" w14:paraId="60A063C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FDC2896" w14:textId="77777777" w:rsidR="00BA6689" w:rsidRDefault="00000000">
            <w:r>
              <w:rPr>
                <w:rFonts w:ascii="Arial" w:eastAsia="Arial" w:hAnsi="Arial" w:cs="Arial"/>
                <w:color w:val="222222"/>
              </w:rPr>
              <w:t>Low digital adoption among older residents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7C0DE924" w14:textId="77777777" w:rsidR="00BA6689" w:rsidRDefault="00000000">
            <w:r>
              <w:rPr>
                <w:rFonts w:ascii="Arial" w:eastAsia="Arial" w:hAnsi="Arial" w:cs="Arial"/>
                <w:color w:val="222222"/>
              </w:rPr>
              <w:t>Maintain in-person channel; offer assisted-digital pathway via staff; targeted communications for seniors</w:t>
            </w:r>
          </w:p>
        </w:tc>
        <w:tc>
          <w:tcPr>
            <w:tcW w:w="1560" w:type="dxa"/>
            <w:tcBorders>
              <w:top w:val="single" w:sz="1" w:space="0" w:color="CCCCCC"/>
              <w:left w:val="single" w:sz="1" w:space="0" w:color="CCCCCC"/>
              <w:bottom w:val="single" w:sz="1" w:space="0" w:color="CCCCCC"/>
              <w:right w:val="single" w:sz="1" w:space="0" w:color="CCCCCC"/>
            </w:tcBorders>
            <w:shd w:val="clear" w:color="auto" w:fill="FEF3DC"/>
            <w:tcMar>
              <w:top w:w="80" w:type="dxa"/>
              <w:left w:w="100" w:type="dxa"/>
              <w:bottom w:w="80" w:type="dxa"/>
              <w:right w:w="100" w:type="dxa"/>
            </w:tcMar>
          </w:tcPr>
          <w:p w14:paraId="3CB60470" w14:textId="77777777" w:rsidR="00BA6689" w:rsidRDefault="00000000">
            <w:pPr>
              <w:jc w:val="center"/>
            </w:pPr>
            <w:r>
              <w:rPr>
                <w:rFonts w:ascii="Arial" w:eastAsia="Arial" w:hAnsi="Arial" w:cs="Arial"/>
                <w:b/>
                <w:bCs/>
                <w:color w:val="633806"/>
              </w:rPr>
              <w:t>Medium</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DD507FE" w14:textId="77777777" w:rsidR="00BA6689" w:rsidRDefault="00000000">
            <w:r>
              <w:rPr>
                <w:rFonts w:ascii="Arial" w:eastAsia="Arial" w:hAnsi="Arial" w:cs="Arial"/>
                <w:color w:val="222222"/>
              </w:rPr>
              <w:t>Director, ServiceOntario</w:t>
            </w:r>
          </w:p>
        </w:tc>
      </w:tr>
      <w:tr w:rsidR="00BA6689" w14:paraId="4A594D7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421A916" w14:textId="77777777" w:rsidR="00BA6689" w:rsidRDefault="00000000">
            <w:r>
              <w:rPr>
                <w:rFonts w:ascii="Arial" w:eastAsia="Arial" w:hAnsi="Arial" w:cs="Arial"/>
                <w:color w:val="222222"/>
              </w:rPr>
              <w:lastRenderedPageBreak/>
              <w:t>Privacy breach or data security incident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A605CE7" w14:textId="77777777" w:rsidR="00BA6689" w:rsidRDefault="00000000">
            <w:r>
              <w:rPr>
                <w:rFonts w:ascii="Arial" w:eastAsia="Arial" w:hAnsi="Arial" w:cs="Arial"/>
                <w:color w:val="222222"/>
              </w:rPr>
              <w:t>PHIPA-compliant architecture; third-party security audit before launch; breach response plan</w:t>
            </w:r>
          </w:p>
        </w:tc>
        <w:tc>
          <w:tcPr>
            <w:tcW w:w="15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00" w:type="dxa"/>
              <w:bottom w:w="80" w:type="dxa"/>
              <w:right w:w="100" w:type="dxa"/>
            </w:tcMar>
          </w:tcPr>
          <w:p w14:paraId="7DD8CE53" w14:textId="77777777" w:rsidR="00BA6689" w:rsidRDefault="00000000">
            <w:pPr>
              <w:jc w:val="center"/>
            </w:pPr>
            <w:r>
              <w:rPr>
                <w:rFonts w:ascii="Arial" w:eastAsia="Arial" w:hAnsi="Arial" w:cs="Arial"/>
                <w:b/>
                <w:bCs/>
                <w:color w:val="8B1A1A"/>
              </w:rPr>
              <w:t>High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1704024" w14:textId="77777777" w:rsidR="00BA6689" w:rsidRDefault="00000000">
            <w:r>
              <w:rPr>
                <w:rFonts w:ascii="Arial" w:eastAsia="Arial" w:hAnsi="Arial" w:cs="Arial"/>
                <w:color w:val="222222"/>
              </w:rPr>
              <w:t>Privacy Commissioner Liaison</w:t>
            </w:r>
          </w:p>
        </w:tc>
      </w:tr>
      <w:tr w:rsidR="00BA6689" w14:paraId="2B1C795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5EFDA466" w14:textId="77777777" w:rsidR="00BA6689" w:rsidRDefault="00000000">
            <w:r>
              <w:rPr>
                <w:rFonts w:ascii="Arial" w:eastAsia="Arial" w:hAnsi="Arial" w:cs="Arial"/>
                <w:color w:val="222222"/>
              </w:rPr>
              <w:t>Legacy system integration failure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4398BE03" w14:textId="77777777" w:rsidR="00BA6689" w:rsidRDefault="00000000">
            <w:r>
              <w:rPr>
                <w:rFonts w:ascii="Arial" w:eastAsia="Arial" w:hAnsi="Arial" w:cs="Arial"/>
                <w:color w:val="222222"/>
              </w:rPr>
              <w:t>API wrapper approach confirmed in Phase 1; dedicated integration sprint with IT; fallback manual processing plan</w:t>
            </w:r>
          </w:p>
        </w:tc>
        <w:tc>
          <w:tcPr>
            <w:tcW w:w="15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00" w:type="dxa"/>
              <w:bottom w:w="80" w:type="dxa"/>
              <w:right w:w="100" w:type="dxa"/>
            </w:tcMar>
          </w:tcPr>
          <w:p w14:paraId="55BE5494" w14:textId="77777777" w:rsidR="00BA6689" w:rsidRDefault="00000000">
            <w:pPr>
              <w:jc w:val="center"/>
            </w:pPr>
            <w:r>
              <w:rPr>
                <w:rFonts w:ascii="Arial" w:eastAsia="Arial" w:hAnsi="Arial" w:cs="Arial"/>
                <w:b/>
                <w:bCs/>
                <w:color w:val="8B1A1A"/>
              </w:rPr>
              <w:t>High</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01BF834B" w14:textId="77777777" w:rsidR="00BA6689" w:rsidRDefault="00000000">
            <w:r>
              <w:rPr>
                <w:rFonts w:ascii="Arial" w:eastAsia="Arial" w:hAnsi="Arial" w:cs="Arial"/>
                <w:color w:val="222222"/>
              </w:rPr>
              <w:t>IT / ODS Lead</w:t>
            </w:r>
          </w:p>
        </w:tc>
      </w:tr>
      <w:tr w:rsidR="00BA6689" w14:paraId="1B0177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E67AEB5" w14:textId="77777777" w:rsidR="00BA6689" w:rsidRDefault="00000000">
            <w:r>
              <w:rPr>
                <w:rFonts w:ascii="Arial" w:eastAsia="Arial" w:hAnsi="Arial" w:cs="Arial"/>
                <w:color w:val="222222"/>
              </w:rPr>
              <w:t>Stakeholder resistance from front-line staff</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AA65E1F" w14:textId="77777777" w:rsidR="00BA6689" w:rsidRDefault="00000000">
            <w:r>
              <w:rPr>
                <w:rFonts w:ascii="Arial" w:eastAsia="Arial" w:hAnsi="Arial" w:cs="Arial"/>
                <w:color w:val="222222"/>
              </w:rPr>
              <w:t>Early involvement in process mapping; clear communication that digital reduces frustrating manual work</w:t>
            </w:r>
          </w:p>
        </w:tc>
        <w:tc>
          <w:tcPr>
            <w:tcW w:w="1560" w:type="dxa"/>
            <w:tcBorders>
              <w:top w:val="single" w:sz="1" w:space="0" w:color="CCCCCC"/>
              <w:left w:val="single" w:sz="1" w:space="0" w:color="CCCCCC"/>
              <w:bottom w:val="single" w:sz="1" w:space="0" w:color="CCCCCC"/>
              <w:right w:val="single" w:sz="1" w:space="0" w:color="CCCCCC"/>
            </w:tcBorders>
            <w:shd w:val="clear" w:color="auto" w:fill="FEF3DC"/>
            <w:tcMar>
              <w:top w:w="80" w:type="dxa"/>
              <w:left w:w="100" w:type="dxa"/>
              <w:bottom w:w="80" w:type="dxa"/>
              <w:right w:w="100" w:type="dxa"/>
            </w:tcMar>
          </w:tcPr>
          <w:p w14:paraId="0B75BB95" w14:textId="77777777" w:rsidR="00BA6689" w:rsidRDefault="00000000">
            <w:pPr>
              <w:jc w:val="center"/>
            </w:pPr>
            <w:r>
              <w:rPr>
                <w:rFonts w:ascii="Arial" w:eastAsia="Arial" w:hAnsi="Arial" w:cs="Arial"/>
                <w:b/>
                <w:bCs/>
                <w:color w:val="633806"/>
              </w:rPr>
              <w:t>Medium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EAA0152" w14:textId="77777777" w:rsidR="00BA6689" w:rsidRDefault="00000000">
            <w:r>
              <w:rPr>
                <w:rFonts w:ascii="Arial" w:eastAsia="Arial" w:hAnsi="Arial" w:cs="Arial"/>
                <w:color w:val="222222"/>
              </w:rPr>
              <w:t>Director, ServiceOntario</w:t>
            </w:r>
          </w:p>
        </w:tc>
      </w:tr>
      <w:tr w:rsidR="00BA6689" w14:paraId="45E863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2251C1F1" w14:textId="77777777" w:rsidR="00BA6689" w:rsidRDefault="00000000">
            <w:r>
              <w:rPr>
                <w:rFonts w:ascii="Arial" w:eastAsia="Arial" w:hAnsi="Arial" w:cs="Arial"/>
                <w:color w:val="222222"/>
              </w:rPr>
              <w:t>Scope creep from other ministries</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3589F1A0" w14:textId="77777777" w:rsidR="00BA6689" w:rsidRDefault="00000000">
            <w:r>
              <w:rPr>
                <w:rFonts w:ascii="Arial" w:eastAsia="Arial" w:hAnsi="Arial" w:cs="Arial"/>
                <w:color w:val="222222"/>
              </w:rPr>
              <w:t>Strict BRD scope boundary; formal change request process for any additions post-sign-off</w:t>
            </w:r>
          </w:p>
        </w:tc>
        <w:tc>
          <w:tcPr>
            <w:tcW w:w="1560" w:type="dxa"/>
            <w:tcBorders>
              <w:top w:val="single" w:sz="1" w:space="0" w:color="CCCCCC"/>
              <w:left w:val="single" w:sz="1" w:space="0" w:color="CCCCCC"/>
              <w:bottom w:val="single" w:sz="1" w:space="0" w:color="CCCCCC"/>
              <w:right w:val="single" w:sz="1" w:space="0" w:color="CCCCCC"/>
            </w:tcBorders>
            <w:shd w:val="clear" w:color="auto" w:fill="EAF3DE"/>
            <w:tcMar>
              <w:top w:w="80" w:type="dxa"/>
              <w:left w:w="100" w:type="dxa"/>
              <w:bottom w:w="80" w:type="dxa"/>
              <w:right w:w="100" w:type="dxa"/>
            </w:tcMar>
          </w:tcPr>
          <w:p w14:paraId="08074E03" w14:textId="77777777" w:rsidR="00BA6689" w:rsidRDefault="00000000">
            <w:pPr>
              <w:jc w:val="center"/>
            </w:pPr>
            <w:r>
              <w:rPr>
                <w:rFonts w:ascii="Arial" w:eastAsia="Arial" w:hAnsi="Arial" w:cs="Arial"/>
                <w:b/>
                <w:bCs/>
                <w:color w:val="0F6E56"/>
              </w:rPr>
              <w:t>Low</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00" w:type="dxa"/>
              <w:bottom w:w="80" w:type="dxa"/>
              <w:right w:w="100" w:type="dxa"/>
            </w:tcMar>
          </w:tcPr>
          <w:p w14:paraId="1B487620" w14:textId="77777777" w:rsidR="00BA6689" w:rsidRDefault="00000000">
            <w:r>
              <w:rPr>
                <w:rFonts w:ascii="Arial" w:eastAsia="Arial" w:hAnsi="Arial" w:cs="Arial"/>
                <w:color w:val="222222"/>
              </w:rPr>
              <w:t>Business Analyst</w:t>
            </w:r>
          </w:p>
        </w:tc>
      </w:tr>
      <w:tr w:rsidR="00BA6689" w14:paraId="020648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F3CD51F" w14:textId="77777777" w:rsidR="00BA6689" w:rsidRDefault="00000000">
            <w:r>
              <w:rPr>
                <w:rFonts w:ascii="Arial" w:eastAsia="Arial" w:hAnsi="Arial" w:cs="Arial"/>
                <w:color w:val="222222"/>
              </w:rPr>
              <w:t>AODA non-compliance at launch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BC900FE" w14:textId="77777777" w:rsidR="00BA6689" w:rsidRDefault="00000000">
            <w:r>
              <w:rPr>
                <w:rFonts w:ascii="Arial" w:eastAsia="Arial" w:hAnsi="Arial" w:cs="Arial"/>
                <w:color w:val="222222"/>
              </w:rPr>
              <w:t>Accessibility testing with real users (disability groups) during UAT; AODA advisor sign-off required before go-live</w:t>
            </w:r>
          </w:p>
        </w:tc>
        <w:tc>
          <w:tcPr>
            <w:tcW w:w="156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00" w:type="dxa"/>
              <w:bottom w:w="80" w:type="dxa"/>
              <w:right w:w="100" w:type="dxa"/>
            </w:tcMar>
          </w:tcPr>
          <w:p w14:paraId="4937FE7E" w14:textId="77777777" w:rsidR="00BA6689" w:rsidRDefault="00000000">
            <w:pPr>
              <w:jc w:val="center"/>
            </w:pPr>
            <w:r>
              <w:rPr>
                <w:rFonts w:ascii="Arial" w:eastAsia="Arial" w:hAnsi="Arial" w:cs="Arial"/>
                <w:b/>
                <w:bCs/>
                <w:color w:val="8B1A1A"/>
              </w:rPr>
              <w:t>High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42B0909" w14:textId="77777777" w:rsidR="00BA6689" w:rsidRDefault="00000000">
            <w:r>
              <w:rPr>
                <w:rFonts w:ascii="Arial" w:eastAsia="Arial" w:hAnsi="Arial" w:cs="Arial"/>
                <w:color w:val="222222"/>
              </w:rPr>
              <w:t>AODA Advisor</w:t>
            </w:r>
          </w:p>
        </w:tc>
      </w:tr>
    </w:tbl>
    <w:p w14:paraId="4627AD52" w14:textId="77777777" w:rsidR="00BA6689" w:rsidRDefault="00BA668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8755"/>
      </w:tblGrid>
      <w:tr w:rsidR="00BA6689" w14:paraId="47101776" w14:textId="77777777">
        <w:tblPrEx>
          <w:tblCellMar>
            <w:top w:w="0" w:type="dxa"/>
            <w:bottom w:w="0" w:type="dxa"/>
          </w:tblCellMar>
        </w:tblPrEx>
        <w:tc>
          <w:tcPr>
            <w:tcW w:w="220" w:type="dxa"/>
            <w:tcBorders>
              <w:top w:val="single" w:sz="1" w:space="0" w:color="CCCCCC"/>
              <w:left w:val="single" w:sz="1" w:space="0" w:color="CCCCCC"/>
              <w:bottom w:val="single" w:sz="1" w:space="0" w:color="CCCCCC"/>
              <w:right w:val="single" w:sz="1" w:space="0" w:color="CCCCCC"/>
            </w:tcBorders>
            <w:shd w:val="clear" w:color="auto" w:fill="EF9F27"/>
            <w:tcMar>
              <w:top w:w="80" w:type="dxa"/>
              <w:left w:w="80" w:type="dxa"/>
              <w:bottom w:w="80" w:type="dxa"/>
              <w:right w:w="80" w:type="dxa"/>
            </w:tcMar>
            <w:vAlign w:val="center"/>
          </w:tcPr>
          <w:p w14:paraId="7B30EFBD" w14:textId="77777777" w:rsidR="00BA6689" w:rsidRDefault="00000000">
            <w:pPr>
              <w:jc w:val="center"/>
            </w:pPr>
            <w:r>
              <w:rPr>
                <w:rFonts w:ascii="Arial" w:eastAsia="Arial" w:hAnsi="Arial" w:cs="Arial"/>
                <w:b/>
                <w:bCs/>
                <w:color w:val="FFFFFF"/>
                <w:sz w:val="16"/>
                <w:szCs w:val="16"/>
              </w:rPr>
              <w:t>BA NOTE</w:t>
            </w:r>
          </w:p>
        </w:tc>
        <w:tc>
          <w:tcPr>
            <w:tcW w:w="9140" w:type="dxa"/>
            <w:tcBorders>
              <w:top w:val="single" w:sz="1" w:space="0" w:color="CCCCCC"/>
              <w:left w:val="single" w:sz="1" w:space="0" w:color="CCCCCC"/>
              <w:bottom w:val="single" w:sz="1" w:space="0" w:color="CCCCCC"/>
              <w:right w:val="single" w:sz="1" w:space="0" w:color="CCCCCC"/>
            </w:tcBorders>
            <w:shd w:val="clear" w:color="auto" w:fill="FEF3DC"/>
            <w:tcMar>
              <w:top w:w="80" w:type="dxa"/>
              <w:left w:w="120" w:type="dxa"/>
              <w:bottom w:w="80" w:type="dxa"/>
              <w:right w:w="120" w:type="dxa"/>
            </w:tcMar>
          </w:tcPr>
          <w:p w14:paraId="1F6A2B69" w14:textId="77777777" w:rsidR="00BA6689" w:rsidRDefault="00000000">
            <w:r>
              <w:rPr>
                <w:rFonts w:ascii="Arial" w:eastAsia="Arial" w:hAnsi="Arial" w:cs="Arial"/>
                <w:i/>
                <w:iCs/>
                <w:color w:val="633806"/>
              </w:rPr>
              <w:t>Including a risk table in a business case is not optional — it is how you build trust with a cautious executive audience. Government stakeholders in particular will look for this section first. If you have not thought about what could go wrong, they will not approve funding.</w:t>
            </w:r>
          </w:p>
        </w:tc>
      </w:tr>
    </w:tbl>
    <w:p w14:paraId="4F60EC2C" w14:textId="77777777" w:rsidR="00BA6689" w:rsidRDefault="00BA6689">
      <w:pPr>
        <w:spacing w:before="120"/>
      </w:pPr>
    </w:p>
    <w:p w14:paraId="545139D0" w14:textId="77777777" w:rsidR="00BA6689" w:rsidRDefault="00000000">
      <w:pPr>
        <w:pBdr>
          <w:bottom w:val="single" w:sz="8" w:space="4" w:color="1A3C6E"/>
        </w:pBdr>
        <w:spacing w:before="320" w:after="160"/>
      </w:pPr>
      <w:r>
        <w:rPr>
          <w:rFonts w:ascii="Arial" w:eastAsia="Arial" w:hAnsi="Arial" w:cs="Arial"/>
          <w:b/>
          <w:bCs/>
          <w:color w:val="1A3C6E"/>
          <w:sz w:val="32"/>
          <w:szCs w:val="32"/>
        </w:rPr>
        <w:t>6. Recommendations</w:t>
      </w:r>
    </w:p>
    <w:p w14:paraId="4B23B4A2" w14:textId="77777777" w:rsidR="00BA6689" w:rsidRDefault="00000000">
      <w:pPr>
        <w:spacing w:before="60" w:after="60"/>
      </w:pPr>
      <w:r>
        <w:rPr>
          <w:rFonts w:ascii="Arial" w:eastAsia="Arial" w:hAnsi="Arial" w:cs="Arial"/>
          <w:sz w:val="22"/>
          <w:szCs w:val="22"/>
        </w:rPr>
        <w:t>Based on the analysis conducted across all five phases of this engagement, the following recommendations are made to the Deputy Minister and project sponsor:</w:t>
      </w:r>
    </w:p>
    <w:p w14:paraId="33D57D0D" w14:textId="77777777" w:rsidR="00BA6689" w:rsidRDefault="00BA6689">
      <w:pPr>
        <w:spacing w:before="40"/>
      </w:pPr>
    </w:p>
    <w:p w14:paraId="202B192B" w14:textId="77777777" w:rsidR="00BA6689" w:rsidRDefault="00000000">
      <w:pPr>
        <w:pStyle w:val="ListParagraph"/>
        <w:numPr>
          <w:ilvl w:val="0"/>
          <w:numId w:val="2"/>
        </w:numPr>
        <w:spacing w:before="40" w:after="40"/>
      </w:pPr>
      <w:r>
        <w:rPr>
          <w:rFonts w:ascii="Arial" w:eastAsia="Arial" w:hAnsi="Arial" w:cs="Arial"/>
          <w:b/>
          <w:bCs/>
          <w:sz w:val="22"/>
          <w:szCs w:val="22"/>
        </w:rPr>
        <w:t xml:space="preserve">Recommendation 1: </w:t>
      </w:r>
      <w:r>
        <w:rPr>
          <w:rFonts w:ascii="Arial" w:eastAsia="Arial" w:hAnsi="Arial" w:cs="Arial"/>
          <w:sz w:val="22"/>
          <w:szCs w:val="22"/>
        </w:rPr>
        <w:t>Approve funding of $5.9M for Option C — the full digital portal — to be allocated across two fiscal years. This delivers the highest ROI, the lowest long-term operational cost, and positions ServiceOntario infrastructure for future service expansion.</w:t>
      </w:r>
    </w:p>
    <w:p w14:paraId="30713800" w14:textId="77777777" w:rsidR="00BA6689" w:rsidRDefault="00BA6689">
      <w:pPr>
        <w:spacing w:before="20"/>
      </w:pPr>
    </w:p>
    <w:p w14:paraId="027E2661" w14:textId="77777777" w:rsidR="00BA6689" w:rsidRDefault="00000000">
      <w:pPr>
        <w:pStyle w:val="ListParagraph"/>
        <w:numPr>
          <w:ilvl w:val="0"/>
          <w:numId w:val="2"/>
        </w:numPr>
        <w:spacing w:before="40" w:after="40"/>
      </w:pPr>
      <w:r>
        <w:rPr>
          <w:rFonts w:ascii="Arial" w:eastAsia="Arial" w:hAnsi="Arial" w:cs="Arial"/>
          <w:b/>
          <w:bCs/>
          <w:sz w:val="22"/>
          <w:szCs w:val="22"/>
        </w:rPr>
        <w:t xml:space="preserve">Recommendation 2: </w:t>
      </w:r>
      <w:r>
        <w:rPr>
          <w:rFonts w:ascii="Arial" w:eastAsia="Arial" w:hAnsi="Arial" w:cs="Arial"/>
          <w:sz w:val="22"/>
          <w:szCs w:val="22"/>
        </w:rPr>
        <w:t>Initiate a Privacy Impact Assessment (PIA) immediately, before any development begins. Engaging the Privacy Commissioner's office early avoids the most common cause of delay in Ontario government digital projects.</w:t>
      </w:r>
    </w:p>
    <w:p w14:paraId="3C930A91" w14:textId="77777777" w:rsidR="00BA6689" w:rsidRDefault="00BA6689">
      <w:pPr>
        <w:spacing w:before="20"/>
      </w:pPr>
    </w:p>
    <w:p w14:paraId="70092069" w14:textId="77777777" w:rsidR="00BA6689" w:rsidRDefault="00000000">
      <w:pPr>
        <w:pStyle w:val="ListParagraph"/>
        <w:numPr>
          <w:ilvl w:val="0"/>
          <w:numId w:val="2"/>
        </w:numPr>
        <w:spacing w:before="40" w:after="40"/>
      </w:pPr>
      <w:r>
        <w:rPr>
          <w:rFonts w:ascii="Arial" w:eastAsia="Arial" w:hAnsi="Arial" w:cs="Arial"/>
          <w:b/>
          <w:bCs/>
          <w:sz w:val="22"/>
          <w:szCs w:val="22"/>
        </w:rPr>
        <w:t xml:space="preserve">Recommendation 3: </w:t>
      </w:r>
      <w:r>
        <w:rPr>
          <w:rFonts w:ascii="Arial" w:eastAsia="Arial" w:hAnsi="Arial" w:cs="Arial"/>
          <w:sz w:val="22"/>
          <w:szCs w:val="22"/>
        </w:rPr>
        <w:t>Establish a joint working group with OHIP Program Branch and MTO in Month 1 to resolve the open questions documented in the BRD (Phase 4) — particularly the auto-approval threshold and data retention policy — before requirements are finalised.</w:t>
      </w:r>
    </w:p>
    <w:p w14:paraId="292D54C8" w14:textId="77777777" w:rsidR="00BA6689" w:rsidRDefault="00BA6689">
      <w:pPr>
        <w:spacing w:before="20"/>
      </w:pPr>
    </w:p>
    <w:p w14:paraId="4B1A4137" w14:textId="77777777" w:rsidR="00BA6689" w:rsidRDefault="00000000">
      <w:pPr>
        <w:pStyle w:val="ListParagraph"/>
        <w:numPr>
          <w:ilvl w:val="0"/>
          <w:numId w:val="2"/>
        </w:numPr>
        <w:spacing w:before="40" w:after="40"/>
      </w:pPr>
      <w:r>
        <w:rPr>
          <w:rFonts w:ascii="Arial" w:eastAsia="Arial" w:hAnsi="Arial" w:cs="Arial"/>
          <w:b/>
          <w:bCs/>
          <w:sz w:val="22"/>
          <w:szCs w:val="22"/>
        </w:rPr>
        <w:t xml:space="preserve">Recommendation 4: </w:t>
      </w:r>
      <w:r>
        <w:rPr>
          <w:rFonts w:ascii="Arial" w:eastAsia="Arial" w:hAnsi="Arial" w:cs="Arial"/>
          <w:sz w:val="22"/>
          <w:szCs w:val="22"/>
        </w:rPr>
        <w:t>Involve front-line ServiceOntario staff in user acceptance testing (UAT). Their buy-in is essential for a successful launch and they carry institutional knowledge that no other stakeholder group possesses.</w:t>
      </w:r>
    </w:p>
    <w:p w14:paraId="4944BC89" w14:textId="77777777" w:rsidR="00BA6689" w:rsidRDefault="00BA6689">
      <w:pPr>
        <w:spacing w:before="20"/>
      </w:pPr>
    </w:p>
    <w:p w14:paraId="6D01C0A3" w14:textId="77777777" w:rsidR="00BA6689" w:rsidRDefault="00000000">
      <w:pPr>
        <w:pStyle w:val="ListParagraph"/>
        <w:numPr>
          <w:ilvl w:val="0"/>
          <w:numId w:val="2"/>
        </w:numPr>
        <w:spacing w:before="40" w:after="40"/>
      </w:pPr>
      <w:r>
        <w:rPr>
          <w:rFonts w:ascii="Arial" w:eastAsia="Arial" w:hAnsi="Arial" w:cs="Arial"/>
          <w:b/>
          <w:bCs/>
          <w:sz w:val="22"/>
          <w:szCs w:val="22"/>
        </w:rPr>
        <w:t xml:space="preserve">Recommendation 5: </w:t>
      </w:r>
      <w:r>
        <w:rPr>
          <w:rFonts w:ascii="Arial" w:eastAsia="Arial" w:hAnsi="Arial" w:cs="Arial"/>
          <w:sz w:val="22"/>
          <w:szCs w:val="22"/>
        </w:rPr>
        <w:t>Commit to a pilot launch in three postal codes before province-wide rollout. This reduces risk, generates real resident feedback, and gives the team an opportunity to resolve integration issues at low scale.</w:t>
      </w:r>
    </w:p>
    <w:p w14:paraId="77482A7E" w14:textId="77777777" w:rsidR="00BA6689" w:rsidRDefault="00BA668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5"/>
        <w:gridCol w:w="8755"/>
      </w:tblGrid>
      <w:tr w:rsidR="00BA6689" w14:paraId="00A55EA8" w14:textId="77777777">
        <w:tblPrEx>
          <w:tblCellMar>
            <w:top w:w="0" w:type="dxa"/>
            <w:bottom w:w="0" w:type="dxa"/>
          </w:tblCellMar>
        </w:tblPrEx>
        <w:tc>
          <w:tcPr>
            <w:tcW w:w="220" w:type="dxa"/>
            <w:tcBorders>
              <w:top w:val="single" w:sz="1" w:space="0" w:color="CCCCCC"/>
              <w:left w:val="single" w:sz="1" w:space="0" w:color="CCCCCC"/>
              <w:bottom w:val="single" w:sz="1" w:space="0" w:color="CCCCCC"/>
              <w:right w:val="single" w:sz="1" w:space="0" w:color="CCCCCC"/>
            </w:tcBorders>
            <w:shd w:val="clear" w:color="auto" w:fill="EF9F27"/>
            <w:tcMar>
              <w:top w:w="80" w:type="dxa"/>
              <w:left w:w="80" w:type="dxa"/>
              <w:bottom w:w="80" w:type="dxa"/>
              <w:right w:w="80" w:type="dxa"/>
            </w:tcMar>
            <w:vAlign w:val="center"/>
          </w:tcPr>
          <w:p w14:paraId="26931897" w14:textId="77777777" w:rsidR="00BA6689" w:rsidRDefault="00000000">
            <w:pPr>
              <w:jc w:val="center"/>
            </w:pPr>
            <w:r>
              <w:rPr>
                <w:rFonts w:ascii="Arial" w:eastAsia="Arial" w:hAnsi="Arial" w:cs="Arial"/>
                <w:b/>
                <w:bCs/>
                <w:color w:val="FFFFFF"/>
                <w:sz w:val="16"/>
                <w:szCs w:val="16"/>
              </w:rPr>
              <w:t>BA NOTE</w:t>
            </w:r>
          </w:p>
        </w:tc>
        <w:tc>
          <w:tcPr>
            <w:tcW w:w="9140" w:type="dxa"/>
            <w:tcBorders>
              <w:top w:val="single" w:sz="1" w:space="0" w:color="CCCCCC"/>
              <w:left w:val="single" w:sz="1" w:space="0" w:color="CCCCCC"/>
              <w:bottom w:val="single" w:sz="1" w:space="0" w:color="CCCCCC"/>
              <w:right w:val="single" w:sz="1" w:space="0" w:color="CCCCCC"/>
            </w:tcBorders>
            <w:shd w:val="clear" w:color="auto" w:fill="FEF3DC"/>
            <w:tcMar>
              <w:top w:w="80" w:type="dxa"/>
              <w:left w:w="120" w:type="dxa"/>
              <w:bottom w:w="80" w:type="dxa"/>
              <w:right w:w="120" w:type="dxa"/>
            </w:tcMar>
          </w:tcPr>
          <w:p w14:paraId="74231339" w14:textId="77777777" w:rsidR="00BA6689" w:rsidRDefault="00000000">
            <w:r>
              <w:rPr>
                <w:rFonts w:ascii="Arial" w:eastAsia="Arial" w:hAnsi="Arial" w:cs="Arial"/>
                <w:i/>
                <w:iCs/>
                <w:color w:val="633806"/>
              </w:rPr>
              <w:t xml:space="preserve">Recommendations should be actionable and specific — not generic. 'Invest in digital' is not a recommendation. 'Approve $5.9M for Option C, initiate a PIA by Month 1, and pilot in three </w:t>
            </w:r>
            <w:r>
              <w:rPr>
                <w:rFonts w:ascii="Arial" w:eastAsia="Arial" w:hAnsi="Arial" w:cs="Arial"/>
                <w:i/>
                <w:iCs/>
                <w:color w:val="633806"/>
              </w:rPr>
              <w:lastRenderedPageBreak/>
              <w:t>postal codes' is a recommendation. The difference is specificity. A BA's job is to remove ambiguity, not add to it.</w:t>
            </w:r>
          </w:p>
        </w:tc>
      </w:tr>
    </w:tbl>
    <w:p w14:paraId="632D0AB3" w14:textId="77777777" w:rsidR="00BA6689" w:rsidRDefault="00BA6689">
      <w:pPr>
        <w:spacing w:before="120"/>
      </w:pPr>
    </w:p>
    <w:p w14:paraId="520073A8" w14:textId="77777777" w:rsidR="00BA6689" w:rsidRDefault="00000000">
      <w:pPr>
        <w:pBdr>
          <w:bottom w:val="single" w:sz="8" w:space="4" w:color="1A3C6E"/>
        </w:pBdr>
        <w:spacing w:before="320" w:after="160"/>
      </w:pPr>
      <w:r>
        <w:rPr>
          <w:rFonts w:ascii="Arial" w:eastAsia="Arial" w:hAnsi="Arial" w:cs="Arial"/>
          <w:b/>
          <w:bCs/>
          <w:color w:val="1A3C6E"/>
          <w:sz w:val="32"/>
          <w:szCs w:val="32"/>
        </w:rPr>
        <w:t>7. Project Summary — End to 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BA6689" w14:paraId="523952D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1A3C6E"/>
            <w:tcMar>
              <w:top w:w="80" w:type="dxa"/>
              <w:left w:w="100" w:type="dxa"/>
              <w:bottom w:w="80" w:type="dxa"/>
              <w:right w:w="100" w:type="dxa"/>
            </w:tcMar>
          </w:tcPr>
          <w:p w14:paraId="7661D848" w14:textId="77777777" w:rsidR="00BA6689" w:rsidRDefault="00000000">
            <w:r>
              <w:rPr>
                <w:rFonts w:ascii="Arial" w:eastAsia="Arial" w:hAnsi="Arial" w:cs="Arial"/>
                <w:b/>
                <w:bCs/>
                <w:color w:val="FFFFFF"/>
              </w:rPr>
              <w:t>Phase</w:t>
            </w:r>
          </w:p>
        </w:tc>
        <w:tc>
          <w:tcPr>
            <w:tcW w:w="0" w:type="auto"/>
            <w:tcBorders>
              <w:top w:val="single" w:sz="1" w:space="0" w:color="CCCCCC"/>
              <w:left w:val="single" w:sz="1" w:space="0" w:color="CCCCCC"/>
              <w:bottom w:val="single" w:sz="1" w:space="0" w:color="CCCCCC"/>
              <w:right w:val="single" w:sz="1" w:space="0" w:color="CCCCCC"/>
            </w:tcBorders>
            <w:shd w:val="clear" w:color="auto" w:fill="1A3C6E"/>
            <w:tcMar>
              <w:top w:w="80" w:type="dxa"/>
              <w:left w:w="100" w:type="dxa"/>
              <w:bottom w:w="80" w:type="dxa"/>
              <w:right w:w="100" w:type="dxa"/>
            </w:tcMar>
          </w:tcPr>
          <w:p w14:paraId="22B343B6" w14:textId="77777777" w:rsidR="00BA6689" w:rsidRDefault="00000000">
            <w:r>
              <w:rPr>
                <w:rFonts w:ascii="Arial" w:eastAsia="Arial" w:hAnsi="Arial" w:cs="Arial"/>
                <w:b/>
                <w:bCs/>
                <w:color w:val="FFFFFF"/>
              </w:rPr>
              <w:t>Summary of Work</w:t>
            </w:r>
          </w:p>
        </w:tc>
      </w:tr>
      <w:tr w:rsidR="00BA6689" w14:paraId="287BF4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00" w:type="dxa"/>
              <w:bottom w:w="100" w:type="dxa"/>
              <w:right w:w="100" w:type="dxa"/>
            </w:tcMar>
          </w:tcPr>
          <w:p w14:paraId="7C2BE502" w14:textId="77777777" w:rsidR="00BA6689" w:rsidRDefault="00000000">
            <w:r>
              <w:rPr>
                <w:rFonts w:ascii="Arial" w:eastAsia="Arial" w:hAnsi="Arial" w:cs="Arial"/>
                <w:b/>
                <w:bCs/>
                <w:color w:val="1A3C6E"/>
              </w:rPr>
              <w:t>Phase 1 — Project Charter</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00" w:type="dxa"/>
              <w:bottom w:w="100" w:type="dxa"/>
              <w:right w:w="100" w:type="dxa"/>
            </w:tcMar>
          </w:tcPr>
          <w:p w14:paraId="3AFD74F0" w14:textId="77777777" w:rsidR="00BA6689" w:rsidRDefault="00000000">
            <w:r>
              <w:rPr>
                <w:rFonts w:ascii="Arial" w:eastAsia="Arial" w:hAnsi="Arial" w:cs="Arial"/>
                <w:color w:val="222222"/>
              </w:rPr>
              <w:t>Defined the business problem using real Ontario government data. Established SMART objectives, project scope, KPIs, assumptions, and constraints. Identified the Deputy Minister as sponsor and key governance structure.</w:t>
            </w:r>
          </w:p>
        </w:tc>
      </w:tr>
      <w:tr w:rsidR="00BA6689" w14:paraId="339A3B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36685FBC" w14:textId="77777777" w:rsidR="00BA6689" w:rsidRDefault="00000000">
            <w:r>
              <w:rPr>
                <w:rFonts w:ascii="Arial" w:eastAsia="Arial" w:hAnsi="Arial" w:cs="Arial"/>
                <w:b/>
                <w:bCs/>
                <w:color w:val="1A3C6E"/>
              </w:rPr>
              <w:t>Phase 2 — Stakeholder Analysis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5D2D72CE" w14:textId="77777777" w:rsidR="00BA6689" w:rsidRDefault="00000000">
            <w:r>
              <w:rPr>
                <w:rFonts w:ascii="Arial" w:eastAsia="Arial" w:hAnsi="Arial" w:cs="Arial"/>
                <w:color w:val="222222"/>
              </w:rPr>
              <w:t>Mapped 9 stakeholders using the Power/Interest grid. Developed tailored engagement strategies for each quadrant. Identified three key stakeholder risks including front-line resistance and Privacy Commissioner delays.</w:t>
            </w:r>
          </w:p>
        </w:tc>
      </w:tr>
      <w:tr w:rsidR="00BA6689" w14:paraId="4B53A5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00" w:type="dxa"/>
              <w:bottom w:w="100" w:type="dxa"/>
              <w:right w:w="100" w:type="dxa"/>
            </w:tcMar>
          </w:tcPr>
          <w:p w14:paraId="3EF9CCF0" w14:textId="77777777" w:rsidR="00BA6689" w:rsidRDefault="00000000">
            <w:r>
              <w:rPr>
                <w:rFonts w:ascii="Arial" w:eastAsia="Arial" w:hAnsi="Arial" w:cs="Arial"/>
                <w:b/>
                <w:bCs/>
                <w:color w:val="1A3C6E"/>
              </w:rPr>
              <w:t>Phase 3 — Process Maps &amp; Gap Analysis</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00" w:type="dxa"/>
              <w:bottom w:w="100" w:type="dxa"/>
              <w:right w:w="100" w:type="dxa"/>
            </w:tcMar>
          </w:tcPr>
          <w:p w14:paraId="1037E4DD" w14:textId="77777777" w:rsidR="00BA6689" w:rsidRDefault="00000000">
            <w:r>
              <w:rPr>
                <w:rFonts w:ascii="Arial" w:eastAsia="Arial" w:hAnsi="Arial" w:cs="Arial"/>
                <w:color w:val="222222"/>
              </w:rPr>
              <w:t>Documented the As-Is process (18–22 days, paper-only, 40% resubmission rate). Designed the To-Be process (3–5 days, 70% auto-decisioned). Produced a gap analysis with MoSCoW prioritisation across 9 specific improvement areas.</w:t>
            </w:r>
          </w:p>
        </w:tc>
      </w:tr>
      <w:tr w:rsidR="00BA6689" w14:paraId="583EEF3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62F9BC49" w14:textId="77777777" w:rsidR="00BA6689" w:rsidRDefault="00000000">
            <w:r>
              <w:rPr>
                <w:rFonts w:ascii="Arial" w:eastAsia="Arial" w:hAnsi="Arial" w:cs="Arial"/>
                <w:b/>
                <w:bCs/>
                <w:color w:val="1A3C6E"/>
              </w:rPr>
              <w:t>Phase 4 — Business Requirements Document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00" w:type="dxa"/>
              <w:bottom w:w="100" w:type="dxa"/>
              <w:right w:w="100" w:type="dxa"/>
            </w:tcMar>
          </w:tcPr>
          <w:p w14:paraId="21B92EA3" w14:textId="77777777" w:rsidR="00BA6689" w:rsidRDefault="00000000">
            <w:r>
              <w:rPr>
                <w:rFonts w:ascii="Arial" w:eastAsia="Arial" w:hAnsi="Arial" w:cs="Arial"/>
                <w:color w:val="222222"/>
              </w:rPr>
              <w:t>Documented 10 functional requirements and 8 non-functional requirements. Established requirements traceability back to charter objectives and gap analysis findings. Captured open questions to be resolved before build.</w:t>
            </w:r>
          </w:p>
        </w:tc>
      </w:tr>
      <w:tr w:rsidR="00BA6689" w14:paraId="1D7F27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00" w:type="dxa"/>
              <w:bottom w:w="100" w:type="dxa"/>
              <w:right w:w="100" w:type="dxa"/>
            </w:tcMar>
          </w:tcPr>
          <w:p w14:paraId="016B0BB0" w14:textId="77777777" w:rsidR="00BA6689" w:rsidRDefault="00000000">
            <w:r>
              <w:rPr>
                <w:rFonts w:ascii="Arial" w:eastAsia="Arial" w:hAnsi="Arial" w:cs="Arial"/>
                <w:b/>
                <w:bCs/>
                <w:color w:val="1A3C6E"/>
              </w:rPr>
              <w:t>Phase 5 — Business Case</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00" w:type="dxa"/>
              <w:bottom w:w="100" w:type="dxa"/>
              <w:right w:w="100" w:type="dxa"/>
            </w:tcMar>
          </w:tcPr>
          <w:p w14:paraId="02AC0D19" w14:textId="77777777" w:rsidR="00BA6689" w:rsidRDefault="00000000">
            <w:r>
              <w:rPr>
                <w:rFonts w:ascii="Arial" w:eastAsia="Arial" w:hAnsi="Arial" w:cs="Arial"/>
                <w:color w:val="222222"/>
              </w:rPr>
              <w:t>Presented cost-benefit analysis showing $5.9M investment generating $86.1M annual savings. Evaluated three options. Assessed six project risks with mitigation strategies. Delivered five specific, actionable recommendations for executive decision.</w:t>
            </w:r>
          </w:p>
        </w:tc>
      </w:tr>
    </w:tbl>
    <w:p w14:paraId="3215F15D" w14:textId="77777777" w:rsidR="00BA6689" w:rsidRDefault="00BA6689">
      <w:pPr>
        <w:spacing w:before="200"/>
      </w:pPr>
    </w:p>
    <w:p w14:paraId="0ED94E6C" w14:textId="77777777" w:rsidR="00BA6689" w:rsidRDefault="00000000">
      <w:pPr>
        <w:pBdr>
          <w:top w:val="single" w:sz="4" w:space="4" w:color="CCCCCC"/>
        </w:pBdr>
        <w:jc w:val="center"/>
      </w:pPr>
      <w:r>
        <w:rPr>
          <w:rFonts w:ascii="Arial" w:eastAsia="Arial" w:hAnsi="Arial" w:cs="Arial"/>
          <w:i/>
          <w:iCs/>
          <w:color w:val="999999"/>
          <w:sz w:val="18"/>
          <w:szCs w:val="18"/>
        </w:rPr>
        <w:t>ServiceOntario Digital Transformation  ·  Business Case &amp; Recommendations v1.0  ·  BA Portfolio Project — Phase 5 of 5  ·  FINAL</w:t>
      </w:r>
    </w:p>
    <w:sectPr w:rsidR="00BA6689" w:rsidSect="00C47A13">
      <w:pgSz w:w="12240" w:h="15840"/>
      <w:pgMar w:top="142"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645965"/>
    <w:multiLevelType w:val="hybridMultilevel"/>
    <w:tmpl w:val="520E47E4"/>
    <w:lvl w:ilvl="0" w:tplc="865AA9F6">
      <w:start w:val="1"/>
      <w:numFmt w:val="bullet"/>
      <w:lvlText w:val="●"/>
      <w:lvlJc w:val="left"/>
      <w:pPr>
        <w:ind w:left="720" w:hanging="360"/>
      </w:pPr>
    </w:lvl>
    <w:lvl w:ilvl="1" w:tplc="B59E1122">
      <w:start w:val="1"/>
      <w:numFmt w:val="bullet"/>
      <w:lvlText w:val="○"/>
      <w:lvlJc w:val="left"/>
      <w:pPr>
        <w:ind w:left="1440" w:hanging="360"/>
      </w:pPr>
    </w:lvl>
    <w:lvl w:ilvl="2" w:tplc="CC489F06">
      <w:start w:val="1"/>
      <w:numFmt w:val="bullet"/>
      <w:lvlText w:val="■"/>
      <w:lvlJc w:val="left"/>
      <w:pPr>
        <w:ind w:left="2160" w:hanging="360"/>
      </w:pPr>
    </w:lvl>
    <w:lvl w:ilvl="3" w:tplc="542A4A50">
      <w:start w:val="1"/>
      <w:numFmt w:val="bullet"/>
      <w:lvlText w:val="●"/>
      <w:lvlJc w:val="left"/>
      <w:pPr>
        <w:ind w:left="2880" w:hanging="360"/>
      </w:pPr>
    </w:lvl>
    <w:lvl w:ilvl="4" w:tplc="70E473DE">
      <w:start w:val="1"/>
      <w:numFmt w:val="bullet"/>
      <w:lvlText w:val="○"/>
      <w:lvlJc w:val="left"/>
      <w:pPr>
        <w:ind w:left="3600" w:hanging="360"/>
      </w:pPr>
    </w:lvl>
    <w:lvl w:ilvl="5" w:tplc="8CA2A964">
      <w:start w:val="1"/>
      <w:numFmt w:val="bullet"/>
      <w:lvlText w:val="■"/>
      <w:lvlJc w:val="left"/>
      <w:pPr>
        <w:ind w:left="4320" w:hanging="360"/>
      </w:pPr>
    </w:lvl>
    <w:lvl w:ilvl="6" w:tplc="01EE504E">
      <w:start w:val="1"/>
      <w:numFmt w:val="bullet"/>
      <w:lvlText w:val="●"/>
      <w:lvlJc w:val="left"/>
      <w:pPr>
        <w:ind w:left="5040" w:hanging="360"/>
      </w:pPr>
    </w:lvl>
    <w:lvl w:ilvl="7" w:tplc="16E49FC0">
      <w:start w:val="1"/>
      <w:numFmt w:val="bullet"/>
      <w:lvlText w:val="●"/>
      <w:lvlJc w:val="left"/>
      <w:pPr>
        <w:ind w:left="5760" w:hanging="360"/>
      </w:pPr>
    </w:lvl>
    <w:lvl w:ilvl="8" w:tplc="183AD560">
      <w:start w:val="1"/>
      <w:numFmt w:val="bullet"/>
      <w:lvlText w:val="●"/>
      <w:lvlJc w:val="left"/>
      <w:pPr>
        <w:ind w:left="6480" w:hanging="360"/>
      </w:pPr>
    </w:lvl>
  </w:abstractNum>
  <w:abstractNum w:abstractNumId="1" w15:restartNumberingAfterBreak="0">
    <w:nsid w:val="61024614"/>
    <w:multiLevelType w:val="hybridMultilevel"/>
    <w:tmpl w:val="7DFCAC7E"/>
    <w:lvl w:ilvl="0" w:tplc="E5F8106A">
      <w:start w:val="1"/>
      <w:numFmt w:val="bullet"/>
      <w:lvlText w:val="•"/>
      <w:lvlJc w:val="left"/>
      <w:pPr>
        <w:ind w:left="480" w:hanging="280"/>
      </w:pPr>
    </w:lvl>
    <w:lvl w:ilvl="1" w:tplc="17F67D0E">
      <w:numFmt w:val="decimal"/>
      <w:lvlText w:val=""/>
      <w:lvlJc w:val="left"/>
    </w:lvl>
    <w:lvl w:ilvl="2" w:tplc="1A28E7E4">
      <w:numFmt w:val="decimal"/>
      <w:lvlText w:val=""/>
      <w:lvlJc w:val="left"/>
    </w:lvl>
    <w:lvl w:ilvl="3" w:tplc="A530A490">
      <w:numFmt w:val="decimal"/>
      <w:lvlText w:val=""/>
      <w:lvlJc w:val="left"/>
    </w:lvl>
    <w:lvl w:ilvl="4" w:tplc="B720D94C">
      <w:numFmt w:val="decimal"/>
      <w:lvlText w:val=""/>
      <w:lvlJc w:val="left"/>
    </w:lvl>
    <w:lvl w:ilvl="5" w:tplc="F350DEC2">
      <w:numFmt w:val="decimal"/>
      <w:lvlText w:val=""/>
      <w:lvlJc w:val="left"/>
    </w:lvl>
    <w:lvl w:ilvl="6" w:tplc="6DB095AE">
      <w:numFmt w:val="decimal"/>
      <w:lvlText w:val=""/>
      <w:lvlJc w:val="left"/>
    </w:lvl>
    <w:lvl w:ilvl="7" w:tplc="D2AA7796">
      <w:numFmt w:val="decimal"/>
      <w:lvlText w:val=""/>
      <w:lvlJc w:val="left"/>
    </w:lvl>
    <w:lvl w:ilvl="8" w:tplc="2834DA0E">
      <w:numFmt w:val="decimal"/>
      <w:lvlText w:val=""/>
      <w:lvlJc w:val="left"/>
    </w:lvl>
  </w:abstractNum>
  <w:num w:numId="1" w16cid:durableId="1942495020">
    <w:abstractNumId w:val="0"/>
    <w:lvlOverride w:ilvl="0">
      <w:startOverride w:val="1"/>
    </w:lvlOverride>
  </w:num>
  <w:num w:numId="2" w16cid:durableId="164045085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689"/>
    <w:rsid w:val="005B1E84"/>
    <w:rsid w:val="00BA6689"/>
    <w:rsid w:val="00C47A13"/>
  </w:rsids>
  <m:mathPr>
    <m:mathFont m:val="Cambria Math"/>
    <m:brkBin m:val="before"/>
    <m:brkBinSub m:val="--"/>
    <m:smallFrac m:val="0"/>
    <m:dispDef/>
    <m:lMargin m:val="0"/>
    <m:rMargin m:val="0"/>
    <m:defJc m:val="centerGroup"/>
    <m:wrapIndent m:val="1440"/>
    <m:intLim m:val="subSup"/>
    <m:naryLim m:val="undOvr"/>
  </m:mathPr>
  <w:themeFontLang w:val="en-CA"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0D87B"/>
  <w15:docId w15:val="{2C34EDB8-E086-42E9-A669-18E960562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1738</Words>
  <Characters>9908</Characters>
  <Application>Microsoft Office Word</Application>
  <DocSecurity>0</DocSecurity>
  <Lines>82</Lines>
  <Paragraphs>23</Paragraphs>
  <ScaleCrop>false</ScaleCrop>
  <Company/>
  <LinksUpToDate>false</LinksUpToDate>
  <CharactersWithSpaces>11623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Aishwarya Senthil</cp:lastModifiedBy>
  <cp:revision>2</cp:revision>
  <dcterms:created xsi:type="dcterms:W3CDTF">2026-06-03T01:20:00Z</dcterms:created>
  <dcterms:modified xsi:type="dcterms:W3CDTF">2026-06-08T19:05:00Z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b11438e9-7994-4d6b-b520-c521e00a5dad</vt:lpwstr>
  </property>
</Properties>
</file>