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Marketing Campaigns: EDA and Hypothesis Testing</w:t>
      </w:r>
    </w:p>
    <w:p>
      <w:r>
        <w:rPr>
          <w:b/>
        </w:rPr>
        <w:t xml:space="preserve">Course: </w:t>
      </w:r>
      <w:r>
        <w:t>Applied Data Science with Python</w:t>
        <w:br/>
      </w:r>
      <w:r>
        <w:rPr>
          <w:b/>
        </w:rPr>
        <w:t xml:space="preserve">Project type: </w:t>
      </w:r>
      <w:r>
        <w:t>Course-End Project</w:t>
        <w:br/>
      </w:r>
      <w:r>
        <w:rPr>
          <w:b/>
        </w:rPr>
        <w:t xml:space="preserve">Dataset: </w:t>
      </w:r>
      <w:r>
        <w:t>marketing_data.csv and the supplied data dictionary</w:t>
        <w:br/>
      </w:r>
      <w:r>
        <w:rPr>
          <w:b/>
        </w:rPr>
        <w:t xml:space="preserve">Submission date: </w:t>
      </w:r>
      <w:r>
        <w:t>October 2026</w:t>
      </w:r>
    </w:p>
    <w:p>
      <w:pPr>
        <w:pStyle w:val="Heading1"/>
      </w:pPr>
      <w:r>
        <w:t>1. Introduction</w:t>
      </w:r>
    </w:p>
    <w:p>
      <w:r>
        <w:t>The objective of this project is to use exploratory data analysis (EDA) and hypothesis testing to understand customer characteristics, product spending, shopping channels and campaign outcomes. The analysis follows the project brief's People, Product, Place and Promotion framing.</w:t>
      </w:r>
    </w:p>
    <w:p>
      <w:pPr>
        <w:pStyle w:val="Heading1"/>
      </w:pPr>
      <w:r>
        <w:t>2. Dataset overview</w:t>
      </w:r>
    </w:p>
    <w:p>
      <w:r>
        <w:t>The supplied CSV contains customer-level records with demographic attributes, income, household composition, product-category spending, purchase counts across web/catalog/store channels, campaign acceptance indicators, complaint status and country. The notebook reports the exact row/column count, data types, missingness and category frequencies directly from the loaded dataset.</w:t>
      </w:r>
    </w:p>
    <w:p>
      <w:pPr>
        <w:pStyle w:val="Heading1"/>
      </w:pPr>
      <w:r>
        <w:t>3. Data cleaning and feature engineering</w:t>
      </w:r>
    </w:p>
    <w:p>
      <w:pPr>
        <w:pStyle w:val="ListBullet"/>
      </w:pPr>
      <w:r>
        <w:t>Column names are stripped of leading/trailing whitespace to standardize the income column name.</w:t>
      </w:r>
    </w:p>
    <w:p>
      <w:pPr>
        <w:pStyle w:val="ListBullet"/>
      </w:pPr>
      <w:r>
        <w:t>Dt_Customer is parsed as a date, with unparseable values represented as missing.</w:t>
      </w:r>
    </w:p>
    <w:p>
      <w:pPr>
        <w:pStyle w:val="ListBullet"/>
      </w:pPr>
      <w:r>
        <w:t>The rare marital-status values Alone, YOLO and Absurd are grouped as Other for analysis.</w:t>
      </w:r>
    </w:p>
    <w:p>
      <w:pPr>
        <w:pStyle w:val="ListBullet"/>
      </w:pPr>
      <w:r>
        <w:t>Missing Income values are imputed using the median for the customer's Education and Marital_Status group, then the Education median, then the overall median.</w:t>
      </w:r>
    </w:p>
    <w:p>
      <w:pPr>
        <w:pStyle w:val="ListBullet"/>
      </w:pPr>
      <w:r>
        <w:t>TotalChildren is calculated as Kidhome + Teenhome.</w:t>
      </w:r>
    </w:p>
    <w:p>
      <w:pPr>
        <w:pStyle w:val="ListBullet"/>
      </w:pPr>
      <w:r>
        <w:t>TotalSpending is the sum of wine, fruit, meat, fish, sweet and gold product spending.</w:t>
      </w:r>
    </w:p>
    <w:p>
      <w:pPr>
        <w:pStyle w:val="ListBullet"/>
      </w:pPr>
      <w:r>
        <w:t>TotalPurchases is the sum of web, catalog and store purchase counts.</w:t>
      </w:r>
    </w:p>
    <w:p>
      <w:pPr>
        <w:pStyle w:val="ListBullet"/>
      </w:pPr>
      <w:r>
        <w:t>Age uses the maximum observed birth year as a dataset-relative reference because the brief does not specify an analysis date. This is suitable for relative comparisons, not a claim of current age.</w:t>
      </w:r>
    </w:p>
    <w:p>
      <w:pPr>
        <w:pStyle w:val="Heading1"/>
      </w:pPr>
      <w:r>
        <w:t>4. Exploratory data analysis</w:t>
      </w:r>
    </w:p>
    <w:p>
      <w:r>
        <w:t>The notebook generates descriptive statistics, histograms and box plots to inspect distributions and possible outliers. Outliers are flagged with the 1.5×IQR rule. For selected skewed numeric variables, a winsorized copy is created by clipping values to the IQR bounds; the original observations are retained for interpretation. A correlation heatmap summarizes pairwise linear relationships among selected numeric variables.</w:t>
      </w:r>
    </w:p>
    <w:p>
      <w:pPr>
        <w:pStyle w:val="Heading1"/>
      </w:pPr>
      <w:r>
        <w:t>5. Categorical encoding</w:t>
      </w:r>
    </w:p>
    <w:p>
      <w:r>
        <w:t>Education is ordinal-encoded in the order Basic, 2n Cycle, Graduation, Master and PhD. Marital status and country are one-hot encoded with one reference category omitted to reduce redundant columns.</w:t>
      </w:r>
    </w:p>
    <w:p>
      <w:pPr>
        <w:pStyle w:val="Heading1"/>
      </w:pPr>
      <w:r>
        <w:t>6. Hypothesis testing</w:t>
      </w:r>
    </w:p>
    <w:p>
      <w:r>
        <w:t>Tests use alpha = 0.05. The notebook operationalizes the project questions using the available variables:</w:t>
      </w:r>
    </w:p>
    <w:p>
      <w:pPr>
        <w:pStyle w:val="ListBullet"/>
      </w:pPr>
      <w:r>
        <w:t>H1: Age and number of store purchases — Pearson correlation.</w:t>
      </w:r>
    </w:p>
    <w:p>
      <w:pPr>
        <w:pStyle w:val="ListBullet"/>
      </w:pPr>
      <w:r>
        <w:t>H2: Web purchases for customers with children versus customers without children — Welch's independent-samples t-test.</w:t>
      </w:r>
    </w:p>
    <w:p>
      <w:pPr>
        <w:pStyle w:val="ListBullet"/>
      </w:pPr>
      <w:r>
        <w:t>H3: Store purchases versus combined web and catalog purchases — Pearson correlation. A negative association is consistent with, but does not prove, cannibalization.</w:t>
      </w:r>
    </w:p>
    <w:p>
      <w:pPr>
        <w:pStyle w:val="ListBullet"/>
      </w:pPr>
      <w:r>
        <w:t>H4: Total purchases for US customers versus non-US customers — Welch's independent-samples t-test.</w:t>
      </w:r>
    </w:p>
    <w:p>
      <w:r>
        <w:t>The notebook prints each test statistic, p-value and decision. Interpret these alongside group means and effect size; statistical significance alone does not establish practical importance or causality.</w:t>
      </w:r>
    </w:p>
    <w:p>
      <w:pPr>
        <w:pStyle w:val="Heading1"/>
      </w:pPr>
      <w:r>
        <w:t>7. Business questions and visualizations</w:t>
      </w:r>
    </w:p>
    <w:p>
      <w:pPr>
        <w:pStyle w:val="ListBullet"/>
      </w:pPr>
      <w:r>
        <w:t>Product performance: total spend by category is compared to identify the highest and lowest spending categories. These are spending totals, not profit or accounting revenue.</w:t>
      </w:r>
    </w:p>
    <w:p>
      <w:pPr>
        <w:pStyle w:val="ListBullet"/>
      </w:pPr>
      <w:r>
        <w:t>Age and campaign response: a logistic visualization and point-biserial correlation assess the relationship between age and acceptance of the last campaign.</w:t>
      </w:r>
    </w:p>
    <w:p>
      <w:pPr>
        <w:pStyle w:val="ListBullet"/>
      </w:pPr>
      <w:r>
        <w:t>Country performance: counts of customers accepting the last campaign are grouped by country. Counts should be distinguished from acceptance rates because country sample sizes differ.</w:t>
      </w:r>
    </w:p>
    <w:p>
      <w:pPr>
        <w:pStyle w:val="ListBullet"/>
      </w:pPr>
      <w:r>
        <w:t>Children and spending: total spending is summarized and plotted by number of children at home.</w:t>
      </w:r>
    </w:p>
    <w:p>
      <w:pPr>
        <w:pStyle w:val="ListBullet"/>
      </w:pPr>
      <w:r>
        <w:t>Complaints and education: customers with Complain = 1 are counted by education level.</w:t>
      </w:r>
    </w:p>
    <w:p>
      <w:pPr>
        <w:pStyle w:val="Heading1"/>
      </w:pPr>
      <w:r>
        <w:t>8. Conclusion</w:t>
      </w:r>
    </w:p>
    <w:p>
      <w:r>
        <w:t>Run the accompanying notebook to obtain dataset-specific numerical results and plots. The outputs provide evidence about customer profiles, product spending, channel usage and campaign acceptance. Conclusions should be based on the displayed group summaries, test p-values and visualizations rather than assumptions. Because the data are observational, relationships should not be described as causal.</w:t>
      </w:r>
    </w:p>
    <w:p>
      <w:pPr>
        <w:pStyle w:val="Heading1"/>
      </w:pPr>
      <w:r>
        <w:t>9. Limitations</w:t>
      </w:r>
    </w:p>
    <w:p>
      <w:pPr>
        <w:pStyle w:val="ListBullet"/>
      </w:pPr>
      <w:r>
        <w:t>The dataset does not specify a fixed reference date for age calculation.</w:t>
      </w:r>
    </w:p>
    <w:p>
      <w:pPr>
        <w:pStyle w:val="ListBullet"/>
      </w:pPr>
      <w:r>
        <w:t>Country groups have unequal sample sizes.</w:t>
      </w:r>
    </w:p>
    <w:p>
      <w:pPr>
        <w:pStyle w:val="ListBullet"/>
      </w:pPr>
      <w:r>
        <w:t>Correlation between channels is not sufficient evidence of causal sales cannibalization.</w:t>
      </w:r>
    </w:p>
    <w:p>
      <w:pPr>
        <w:pStyle w:val="ListBullet"/>
      </w:pPr>
      <w:r>
        <w:t>Product expenditure is a proxy for customer spending, not company profit or net revenue.</w:t>
      </w:r>
    </w:p>
    <w:p>
      <w:pPr>
        <w:pStyle w:val="ListBullet"/>
      </w:pPr>
      <w:r>
        <w:t>Median imputation reduces missingness but may understate uncertainty in income.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