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3546D" w14:textId="77777777" w:rsidR="00CD3176" w:rsidRDefault="00000000">
      <w:pPr>
        <w:pStyle w:val="Title"/>
      </w:pPr>
      <w:r>
        <w:t>ShopNest Power BI Dashboard Report</w:t>
      </w:r>
    </w:p>
    <w:p w14:paraId="1F9A91F2" w14:textId="261ADCAF" w:rsidR="00CD3176" w:rsidRDefault="00000000">
      <w:r>
        <w:t xml:space="preserve">This report includes visual analysis and key insights for the Power BI Capstone Project on ShopNest Store. </w:t>
      </w:r>
    </w:p>
    <w:p w14:paraId="07DDBB2C" w14:textId="77777777" w:rsidR="00CD3176" w:rsidRDefault="00000000">
      <w:pPr>
        <w:pStyle w:val="Heading1"/>
      </w:pPr>
      <w:r>
        <w:t>1. Top Categories by Total Price</w:t>
      </w:r>
    </w:p>
    <w:p w14:paraId="60623AAF" w14:textId="0BF00CFD" w:rsidR="00CD3176" w:rsidRDefault="00000000">
      <w:r>
        <w:t xml:space="preserve"> Identify and visually represent the top 10 product categories by total sales.</w:t>
      </w:r>
    </w:p>
    <w:p w14:paraId="0ABDACAD" w14:textId="008F9965" w:rsidR="00F60803" w:rsidRDefault="00F60803">
      <w:r>
        <w:rPr>
          <w:noProof/>
        </w:rPr>
        <w:drawing>
          <wp:inline distT="0" distB="0" distL="0" distR="0" wp14:anchorId="1FFC6BC5" wp14:editId="17D890EE">
            <wp:extent cx="3566160" cy="2255520"/>
            <wp:effectExtent l="0" t="0" r="0" b="0"/>
            <wp:docPr id="188987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74151" name="Picture 1889874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5993" cy="226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8084" w14:textId="17A92AC6" w:rsidR="00CD3176" w:rsidRDefault="007336AF" w:rsidP="00F60803">
      <w:pPr>
        <w:pStyle w:val="ListParagraph"/>
        <w:numPr>
          <w:ilvl w:val="0"/>
          <w:numId w:val="10"/>
        </w:numPr>
      </w:pPr>
      <w:r>
        <w:rPr>
          <w:b/>
          <w:bCs/>
          <w:noProof/>
        </w:rPr>
        <w:drawing>
          <wp:inline distT="0" distB="0" distL="0" distR="0" wp14:anchorId="29A34D0D" wp14:editId="1B384BF5">
            <wp:extent cx="220980" cy="220980"/>
            <wp:effectExtent l="0" t="0" r="7620" b="7620"/>
            <wp:docPr id="177044403" name="Graphic 2" descr="Bar graph with upward tren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4403" name="Graphic 177044403" descr="Bar graph with upward trend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 w:rsidR="00F60803" w:rsidRPr="00126F4F">
        <w:rPr>
          <w:b/>
          <w:bCs/>
        </w:rPr>
        <w:t>Health and beauty</w:t>
      </w:r>
      <w:r w:rsidR="00F60803">
        <w:t xml:space="preserve"> </w:t>
      </w:r>
      <w:proofErr w:type="gramStart"/>
      <w:r w:rsidR="00F60803">
        <w:t>tops</w:t>
      </w:r>
      <w:proofErr w:type="gramEnd"/>
      <w:r w:rsidR="00F60803">
        <w:t xml:space="preserve"> all category by gaining </w:t>
      </w:r>
      <w:r w:rsidR="00F60803" w:rsidRPr="00126F4F">
        <w:rPr>
          <w:b/>
          <w:bCs/>
        </w:rPr>
        <w:t>1.26M</w:t>
      </w:r>
      <w:r w:rsidR="00F60803">
        <w:t>, this indicates high demand, different products variety and emerged as highly trusted brand.</w:t>
      </w:r>
    </w:p>
    <w:p w14:paraId="35EC7CA4" w14:textId="61C3E1A5" w:rsidR="00F60803" w:rsidRDefault="00F60803" w:rsidP="00F60803">
      <w:pPr>
        <w:pStyle w:val="ListParagraph"/>
        <w:numPr>
          <w:ilvl w:val="0"/>
          <w:numId w:val="10"/>
        </w:numPr>
      </w:pPr>
      <w:r>
        <w:t xml:space="preserve">Following that, </w:t>
      </w:r>
      <w:r w:rsidRPr="00126F4F">
        <w:rPr>
          <w:b/>
          <w:bCs/>
        </w:rPr>
        <w:t>watches and gifts</w:t>
      </w:r>
      <w:r w:rsidR="00197CDA" w:rsidRPr="00126F4F">
        <w:rPr>
          <w:b/>
          <w:bCs/>
        </w:rPr>
        <w:t xml:space="preserve"> </w:t>
      </w:r>
      <w:r w:rsidRPr="00126F4F">
        <w:rPr>
          <w:b/>
          <w:bCs/>
        </w:rPr>
        <w:t>(1.21M),</w:t>
      </w:r>
      <w:r w:rsidR="00197CDA">
        <w:t xml:space="preserve"> </w:t>
      </w:r>
      <w:r>
        <w:t>bed bath tables</w:t>
      </w:r>
      <w:r w:rsidR="00197CDA">
        <w:t xml:space="preserve"> </w:t>
      </w:r>
      <w:r>
        <w:t>(1.04M)</w:t>
      </w:r>
      <w:r w:rsidR="00197CDA">
        <w:t xml:space="preserve"> </w:t>
      </w:r>
      <w:r>
        <w:t xml:space="preserve">adds </w:t>
      </w:r>
      <w:r w:rsidR="00197CDA">
        <w:t>their</w:t>
      </w:r>
      <w:r>
        <w:t xml:space="preserve"> portion for overall revenue. And </w:t>
      </w:r>
      <w:r w:rsidR="00197CDA">
        <w:t>coming out as competitors.</w:t>
      </w:r>
    </w:p>
    <w:p w14:paraId="4E183176" w14:textId="2D12C31B" w:rsidR="00197CDA" w:rsidRDefault="00197CDA" w:rsidP="00F60803">
      <w:pPr>
        <w:pStyle w:val="ListParagraph"/>
        <w:numPr>
          <w:ilvl w:val="0"/>
          <w:numId w:val="10"/>
        </w:numPr>
      </w:pPr>
      <w:proofErr w:type="spellStart"/>
      <w:r w:rsidRPr="00126F4F">
        <w:rPr>
          <w:b/>
          <w:bCs/>
        </w:rPr>
        <w:t>Sports_leisure</w:t>
      </w:r>
      <w:proofErr w:type="spellEnd"/>
      <w:r w:rsidRPr="00126F4F">
        <w:rPr>
          <w:b/>
          <w:bCs/>
        </w:rPr>
        <w:t xml:space="preserve"> (0.99M), Computer accessories (0.91M), Furniture decor (0.73) </w:t>
      </w:r>
      <w:r>
        <w:t xml:space="preserve">are mid- tier categories performing well and showing lifestyle and personal Customer </w:t>
      </w:r>
      <w:proofErr w:type="spellStart"/>
      <w:r>
        <w:t>intersts</w:t>
      </w:r>
      <w:proofErr w:type="spellEnd"/>
      <w:r>
        <w:t>.</w:t>
      </w:r>
    </w:p>
    <w:p w14:paraId="5ECFE8FA" w14:textId="47E8124C" w:rsidR="00197CDA" w:rsidRDefault="00197CDA" w:rsidP="00F60803">
      <w:pPr>
        <w:pStyle w:val="ListParagraph"/>
        <w:numPr>
          <w:ilvl w:val="0"/>
          <w:numId w:val="10"/>
        </w:numPr>
      </w:pPr>
      <w:r>
        <w:t>Categories in the bottom half are maintaining their average and concentrate on Marketing, product expansion and Strategies to boost their performance.</w:t>
      </w:r>
    </w:p>
    <w:p w14:paraId="736B4C98" w14:textId="2772BF84" w:rsidR="001350C7" w:rsidRDefault="00197CDA" w:rsidP="00126F4F">
      <w:pPr>
        <w:pStyle w:val="ListParagraph"/>
        <w:numPr>
          <w:ilvl w:val="0"/>
          <w:numId w:val="10"/>
        </w:numPr>
      </w:pPr>
      <w:r>
        <w:t>Overall Shop nest Store shows various diversity of categories and their products.</w:t>
      </w:r>
    </w:p>
    <w:p w14:paraId="03AE0925" w14:textId="766667FD" w:rsidR="00CD3176" w:rsidRDefault="00000000">
      <w:pPr>
        <w:pStyle w:val="Heading1"/>
      </w:pPr>
      <w:r>
        <w:t>2. Delayed Orders Analysis</w:t>
      </w:r>
    </w:p>
    <w:p w14:paraId="46A184F7" w14:textId="2E7C0671" w:rsidR="00CD3176" w:rsidRDefault="00000000">
      <w:r>
        <w:t>Determine the number of delayed orders in each category. An order is considered delayed if the actual delivery date is later than the estimated delivery date.</w:t>
      </w:r>
    </w:p>
    <w:p w14:paraId="22424AC7" w14:textId="79CD401D" w:rsidR="00051F02" w:rsidRDefault="00051F02">
      <w:r w:rsidRPr="00051F02">
        <w:rPr>
          <w:noProof/>
        </w:rPr>
        <w:lastRenderedPageBreak/>
        <w:drawing>
          <wp:inline distT="0" distB="0" distL="0" distR="0" wp14:anchorId="52219F41" wp14:editId="75CC8D6F">
            <wp:extent cx="5684520" cy="3009900"/>
            <wp:effectExtent l="0" t="0" r="0" b="0"/>
            <wp:docPr id="116994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43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5544" cy="306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E87C" w14:textId="75DD2D8D" w:rsidR="001350C7" w:rsidRDefault="001350C7" w:rsidP="001350C7">
      <w:pPr>
        <w:pStyle w:val="ListParagraph"/>
        <w:numPr>
          <w:ilvl w:val="0"/>
          <w:numId w:val="11"/>
        </w:numPr>
      </w:pPr>
      <w:r w:rsidRPr="001350C7">
        <w:rPr>
          <w:b/>
          <w:bCs/>
        </w:rPr>
        <w:t>Bed-bath-table</w:t>
      </w:r>
      <w:r>
        <w:t xml:space="preserve"> being top in top 2 has most delayed orders, indicating any supply chain or inventory issues.</w:t>
      </w:r>
    </w:p>
    <w:p w14:paraId="676F18F4" w14:textId="45E2F414" w:rsidR="001350C7" w:rsidRDefault="001350C7" w:rsidP="001350C7">
      <w:pPr>
        <w:pStyle w:val="ListParagraph"/>
        <w:numPr>
          <w:ilvl w:val="0"/>
          <w:numId w:val="11"/>
        </w:numPr>
      </w:pPr>
      <w:r>
        <w:t xml:space="preserve">TOP 1 category </w:t>
      </w:r>
      <w:r w:rsidRPr="001350C7">
        <w:rPr>
          <w:b/>
          <w:bCs/>
        </w:rPr>
        <w:t>health and beauty</w:t>
      </w:r>
      <w:r>
        <w:t xml:space="preserve"> has 2</w:t>
      </w:r>
      <w:r w:rsidRPr="001350C7">
        <w:rPr>
          <w:vertAlign w:val="superscript"/>
        </w:rPr>
        <w:t>nd</w:t>
      </w:r>
      <w:r>
        <w:t xml:space="preserve"> highest delays. suggesting due to high order volumes it may have failed to meet delivery deadlines.</w:t>
      </w:r>
    </w:p>
    <w:p w14:paraId="27E462C4" w14:textId="7E80D735" w:rsidR="001350C7" w:rsidRDefault="001350C7" w:rsidP="001350C7">
      <w:pPr>
        <w:pStyle w:val="ListParagraph"/>
        <w:numPr>
          <w:ilvl w:val="0"/>
          <w:numId w:val="11"/>
        </w:numPr>
      </w:pPr>
      <w:r w:rsidRPr="001350C7">
        <w:rPr>
          <w:b/>
          <w:bCs/>
        </w:rPr>
        <w:t>Furniture</w:t>
      </w:r>
      <w:r>
        <w:t xml:space="preserve"> and </w:t>
      </w:r>
      <w:r w:rsidRPr="001350C7">
        <w:rPr>
          <w:b/>
          <w:bCs/>
        </w:rPr>
        <w:t xml:space="preserve">sports </w:t>
      </w:r>
      <w:r>
        <w:t>categories have highest delays, probably due to new designs and that may take longer to ship.</w:t>
      </w:r>
    </w:p>
    <w:p w14:paraId="498420D3" w14:textId="55FA6DE1" w:rsidR="001350C7" w:rsidRDefault="001350C7" w:rsidP="001350C7">
      <w:pPr>
        <w:pStyle w:val="ListParagraph"/>
        <w:numPr>
          <w:ilvl w:val="0"/>
          <w:numId w:val="11"/>
        </w:numPr>
      </w:pPr>
      <w:r w:rsidRPr="001350C7">
        <w:rPr>
          <w:b/>
          <w:bCs/>
        </w:rPr>
        <w:t>Computers, accessories</w:t>
      </w:r>
      <w:r>
        <w:t xml:space="preserve"> and </w:t>
      </w:r>
      <w:r w:rsidRPr="001350C7">
        <w:rPr>
          <w:b/>
          <w:bCs/>
        </w:rPr>
        <w:t>telephony</w:t>
      </w:r>
      <w:r>
        <w:t xml:space="preserve"> may have supplier chain and logistics issue.</w:t>
      </w:r>
    </w:p>
    <w:p w14:paraId="3C85C659" w14:textId="70B97B8F" w:rsidR="001350C7" w:rsidRDefault="001350C7" w:rsidP="001350C7">
      <w:pPr>
        <w:pStyle w:val="ListParagraph"/>
        <w:numPr>
          <w:ilvl w:val="0"/>
          <w:numId w:val="11"/>
        </w:numPr>
      </w:pPr>
      <w:r>
        <w:t xml:space="preserve">Moderate delay </w:t>
      </w:r>
      <w:r w:rsidRPr="001350C7">
        <w:t xml:space="preserve">Categories like </w:t>
      </w:r>
      <w:r w:rsidRPr="001350C7">
        <w:rPr>
          <w:b/>
          <w:bCs/>
        </w:rPr>
        <w:t>Watches &amp; Gifts, Housewares, Auto, and Garden Tools</w:t>
      </w:r>
      <w:r w:rsidRPr="001350C7">
        <w:t xml:space="preserve"> show delays ranging between </w:t>
      </w:r>
      <w:r w:rsidRPr="001350C7">
        <w:rPr>
          <w:b/>
          <w:bCs/>
        </w:rPr>
        <w:t>340–485</w:t>
      </w:r>
      <w:r w:rsidRPr="001350C7">
        <w:t>, still worth monitoring but less critical than the top 5.</w:t>
      </w:r>
    </w:p>
    <w:p w14:paraId="5341CA07" w14:textId="1C696D0C" w:rsidR="00CD3176" w:rsidRDefault="001350C7" w:rsidP="00126F4F">
      <w:pPr>
        <w:pStyle w:val="ListParagraph"/>
        <w:numPr>
          <w:ilvl w:val="0"/>
          <w:numId w:val="11"/>
        </w:numPr>
      </w:pPr>
      <w:r>
        <w:t xml:space="preserve">Focus </w:t>
      </w:r>
      <w:proofErr w:type="gramStart"/>
      <w:r>
        <w:t>needed  on</w:t>
      </w:r>
      <w:proofErr w:type="gramEnd"/>
      <w:r>
        <w:t xml:space="preserve"> </w:t>
      </w:r>
      <w:r w:rsidRPr="001350C7">
        <w:t xml:space="preserve">High-selling categories (like </w:t>
      </w:r>
      <w:r w:rsidRPr="001350C7">
        <w:rPr>
          <w:b/>
          <w:bCs/>
        </w:rPr>
        <w:t>Bed, Bath &amp; Table</w:t>
      </w:r>
      <w:r w:rsidRPr="001350C7">
        <w:t xml:space="preserve"> and </w:t>
      </w:r>
      <w:r w:rsidRPr="001350C7">
        <w:rPr>
          <w:b/>
          <w:bCs/>
        </w:rPr>
        <w:t>Health &amp; Beauty</w:t>
      </w:r>
      <w:r w:rsidRPr="001350C7">
        <w:t xml:space="preserve">) having high delays suggests a </w:t>
      </w:r>
      <w:r w:rsidRPr="001350C7">
        <w:rPr>
          <w:b/>
          <w:bCs/>
        </w:rPr>
        <w:t>performance bottleneck</w:t>
      </w:r>
      <w:r w:rsidRPr="001350C7">
        <w:t xml:space="preserve"> — these areas may benefit from improved warehouse or delivery coordination.</w:t>
      </w:r>
    </w:p>
    <w:p w14:paraId="1DF055B9" w14:textId="77777777" w:rsidR="00CD3176" w:rsidRDefault="00000000">
      <w:pPr>
        <w:pStyle w:val="Heading1"/>
      </w:pPr>
      <w:r>
        <w:t>3. Monthly Comparison of Delayed and On-Time Orders</w:t>
      </w:r>
    </w:p>
    <w:p w14:paraId="28155241" w14:textId="36749B0E" w:rsidR="00CD3176" w:rsidRDefault="00000000">
      <w:r>
        <w:t>Create a dynamic visual that compares the number of delayed orders to the number of orders received earlier for each month. Utilize the drillthrough cross-report feature to provide a detailed analysis of late and on-time deliveries.</w:t>
      </w:r>
    </w:p>
    <w:p w14:paraId="66703E9C" w14:textId="6D4F51CF" w:rsidR="00A21355" w:rsidRDefault="00A21355"/>
    <w:p w14:paraId="66C64802" w14:textId="02BC57E5" w:rsidR="00A21355" w:rsidRDefault="00A21355">
      <w:r w:rsidRPr="00A21355">
        <w:rPr>
          <w:noProof/>
        </w:rPr>
        <w:lastRenderedPageBreak/>
        <w:drawing>
          <wp:inline distT="0" distB="0" distL="0" distR="0" wp14:anchorId="0E849F12" wp14:editId="397DB45D">
            <wp:extent cx="5052060" cy="3749040"/>
            <wp:effectExtent l="0" t="0" r="0" b="3810"/>
            <wp:docPr id="154290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06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6773" cy="388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9463" w14:textId="0E2A2145" w:rsidR="00CD3176" w:rsidRDefault="00A21355" w:rsidP="00A21355">
      <w:pPr>
        <w:pStyle w:val="ListParagraph"/>
        <w:numPr>
          <w:ilvl w:val="0"/>
          <w:numId w:val="12"/>
        </w:numPr>
      </w:pPr>
      <w:r>
        <w:t>Ontime order</w:t>
      </w:r>
      <w:r w:rsidRPr="00AE47E7">
        <w:rPr>
          <w:b/>
          <w:bCs/>
        </w:rPr>
        <w:t xml:space="preserve"> dominant</w:t>
      </w:r>
      <w:r>
        <w:t xml:space="preserve"> in every month over delayed order.</w:t>
      </w:r>
    </w:p>
    <w:p w14:paraId="356D5CAE" w14:textId="33D81709" w:rsidR="00A21355" w:rsidRDefault="00A21355" w:rsidP="00A21355">
      <w:pPr>
        <w:pStyle w:val="ListParagraph"/>
        <w:numPr>
          <w:ilvl w:val="0"/>
          <w:numId w:val="12"/>
        </w:numPr>
      </w:pPr>
      <w:r>
        <w:t xml:space="preserve">The ratio over online versus delayed is </w:t>
      </w:r>
      <w:r w:rsidRPr="00AE47E7">
        <w:rPr>
          <w:b/>
          <w:bCs/>
        </w:rPr>
        <w:t>healthy across</w:t>
      </w:r>
      <w:r>
        <w:t xml:space="preserve"> observed period.</w:t>
      </w:r>
    </w:p>
    <w:p w14:paraId="707964F7" w14:textId="7E7B8912" w:rsidR="00A21355" w:rsidRDefault="00AE47E7" w:rsidP="00A21355">
      <w:pPr>
        <w:pStyle w:val="ListParagraph"/>
        <w:numPr>
          <w:ilvl w:val="0"/>
          <w:numId w:val="12"/>
        </w:numPr>
      </w:pPr>
      <w:r w:rsidRPr="00AE47E7">
        <w:t xml:space="preserve">The </w:t>
      </w:r>
      <w:r w:rsidRPr="00AE47E7">
        <w:rPr>
          <w:b/>
          <w:bCs/>
        </w:rPr>
        <w:t>highest volume of total orders</w:t>
      </w:r>
      <w:r w:rsidRPr="00AE47E7">
        <w:t xml:space="preserve"> (especially on-time) occurred in </w:t>
      </w:r>
      <w:r w:rsidRPr="00AE47E7">
        <w:rPr>
          <w:b/>
          <w:bCs/>
        </w:rPr>
        <w:t>early to mid-2018</w:t>
      </w:r>
      <w:r w:rsidRPr="00AE47E7">
        <w:t xml:space="preserve"> — particularly in </w:t>
      </w:r>
      <w:r w:rsidRPr="00AE47E7">
        <w:rPr>
          <w:b/>
          <w:bCs/>
        </w:rPr>
        <w:t>March, April, and May</w:t>
      </w:r>
      <w:r w:rsidRPr="00AE47E7">
        <w:t>.</w:t>
      </w:r>
    </w:p>
    <w:p w14:paraId="32770278" w14:textId="77777777" w:rsidR="00AE47E7" w:rsidRDefault="00AE47E7" w:rsidP="00AE47E7">
      <w:pPr>
        <w:pStyle w:val="ListParagraph"/>
        <w:numPr>
          <w:ilvl w:val="0"/>
          <w:numId w:val="12"/>
        </w:numPr>
      </w:pPr>
      <w:r>
        <w:t xml:space="preserve">The </w:t>
      </w:r>
      <w:r w:rsidRPr="00AE47E7">
        <w:rPr>
          <w:b/>
          <w:bCs/>
        </w:rPr>
        <w:t>minimal activity was shown in 2016</w:t>
      </w:r>
      <w:r>
        <w:t xml:space="preserve"> states that the operation was just starting or data is incomplete for that period.</w:t>
      </w:r>
    </w:p>
    <w:p w14:paraId="6E676933" w14:textId="77777777" w:rsidR="00AE47E7" w:rsidRDefault="00AE47E7" w:rsidP="00AE47E7">
      <w:pPr>
        <w:pStyle w:val="ListParagraph"/>
        <w:numPr>
          <w:ilvl w:val="0"/>
          <w:numId w:val="12"/>
        </w:numPr>
      </w:pPr>
      <w:r>
        <w:t xml:space="preserve"> After mid-2018, there's a </w:t>
      </w:r>
      <w:r>
        <w:rPr>
          <w:rStyle w:val="Strong"/>
        </w:rPr>
        <w:t>noticeable decline</w:t>
      </w:r>
      <w:r>
        <w:t xml:space="preserve"> in both on-time and delayed orders.</w:t>
      </w:r>
    </w:p>
    <w:p w14:paraId="15FC005E" w14:textId="026068F8" w:rsidR="00AE47E7" w:rsidRDefault="00AE47E7" w:rsidP="00AE47E7">
      <w:pPr>
        <w:pStyle w:val="ListParagraph"/>
        <w:numPr>
          <w:ilvl w:val="0"/>
          <w:numId w:val="12"/>
        </w:numPr>
      </w:pPr>
      <w:r>
        <w:t>This might be due to a change in operations, reduced customer activity, or data availability limitation.</w:t>
      </w:r>
    </w:p>
    <w:p w14:paraId="78D9119A" w14:textId="01916F70" w:rsidR="00AE47E7" w:rsidRDefault="00AE47E7" w:rsidP="00A21355">
      <w:pPr>
        <w:pStyle w:val="ListParagraph"/>
        <w:numPr>
          <w:ilvl w:val="0"/>
          <w:numId w:val="12"/>
        </w:numPr>
      </w:pPr>
      <w:r w:rsidRPr="00AE47E7">
        <w:t xml:space="preserve">Despite changes in order volume, </w:t>
      </w:r>
      <w:r w:rsidRPr="00AE47E7">
        <w:rPr>
          <w:b/>
          <w:bCs/>
        </w:rPr>
        <w:t>delayed orders remain fairly consistent</w:t>
      </w:r>
      <w:r w:rsidRPr="00AE47E7">
        <w:t xml:space="preserve"> in their count and do not show major spikes — a positive indicator for logistics performance.</w:t>
      </w:r>
    </w:p>
    <w:p w14:paraId="75AD7513" w14:textId="77777777" w:rsidR="00CD3176" w:rsidRDefault="00000000">
      <w:pPr>
        <w:pStyle w:val="Heading1"/>
      </w:pPr>
      <w:r>
        <w:t>4. Payment Method Analysis</w:t>
      </w:r>
    </w:p>
    <w:p w14:paraId="1A715550" w14:textId="6B31B325" w:rsidR="00CD3176" w:rsidRDefault="00000000">
      <w:r>
        <w:t>Analyze the most frequently used payment methods by customers using a visually appealing representation, such as a pie chart or other suitable visuals.</w:t>
      </w:r>
    </w:p>
    <w:p w14:paraId="6275E46E" w14:textId="17A429D4" w:rsidR="00930F97" w:rsidRDefault="00AE47E7" w:rsidP="00930F97">
      <w:r w:rsidRPr="00AE47E7">
        <w:rPr>
          <w:noProof/>
        </w:rPr>
        <w:lastRenderedPageBreak/>
        <w:drawing>
          <wp:inline distT="0" distB="0" distL="0" distR="0" wp14:anchorId="73EDD80C" wp14:editId="01958C53">
            <wp:extent cx="3992880" cy="2574757"/>
            <wp:effectExtent l="0" t="0" r="7620" b="0"/>
            <wp:docPr id="113046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618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5373" cy="262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3703" w14:textId="1F18DBA9" w:rsidR="00930F97" w:rsidRDefault="00930F97" w:rsidP="00930F97">
      <w:pPr>
        <w:pStyle w:val="ListParagraph"/>
        <w:numPr>
          <w:ilvl w:val="0"/>
          <w:numId w:val="14"/>
        </w:numPr>
      </w:pPr>
      <w:r w:rsidRPr="00930F97">
        <w:rPr>
          <w:b/>
          <w:bCs/>
        </w:rPr>
        <w:t>Credit card is the most preferred payment method</w:t>
      </w:r>
      <w:r>
        <w:t xml:space="preserve"> used with 73.92% for transactions.</w:t>
      </w:r>
    </w:p>
    <w:p w14:paraId="1662B803" w14:textId="13F1B986" w:rsidR="00930F97" w:rsidRDefault="00930F97" w:rsidP="00930F97">
      <w:pPr>
        <w:pStyle w:val="ListParagraph"/>
        <w:numPr>
          <w:ilvl w:val="0"/>
          <w:numId w:val="14"/>
        </w:numPr>
      </w:pPr>
      <w:proofErr w:type="spellStart"/>
      <w:r w:rsidRPr="00930F97">
        <w:rPr>
          <w:b/>
          <w:bCs/>
        </w:rPr>
        <w:t>Bolento</w:t>
      </w:r>
      <w:proofErr w:type="spellEnd"/>
      <w:r w:rsidRPr="00930F97">
        <w:rPr>
          <w:b/>
          <w:bCs/>
        </w:rPr>
        <w:t xml:space="preserve"> is a local payment</w:t>
      </w:r>
      <w:r>
        <w:t xml:space="preserve"> methos in Brazil, which is still popular with 19.04%.</w:t>
      </w:r>
    </w:p>
    <w:p w14:paraId="7C123492" w14:textId="77777777" w:rsidR="00930F97" w:rsidRPr="00930F97" w:rsidRDefault="00930F97" w:rsidP="00930F97">
      <w:pPr>
        <w:pStyle w:val="ListParagraph"/>
        <w:numPr>
          <w:ilvl w:val="0"/>
          <w:numId w:val="14"/>
        </w:numPr>
      </w:pPr>
      <w:r w:rsidRPr="00930F97">
        <w:rPr>
          <w:b/>
          <w:bCs/>
        </w:rPr>
        <w:t>Minor usage of Voucher and debit card</w:t>
      </w:r>
      <w:r>
        <w:t xml:space="preserve"> with 5.56% and ~0%, </w:t>
      </w:r>
      <w:r w:rsidRPr="00930F97">
        <w:t>These may be used occasionally for promotional discounts or by a smaller customer segment.</w:t>
      </w:r>
    </w:p>
    <w:p w14:paraId="1EAD73F3" w14:textId="77777777" w:rsidR="00930F97" w:rsidRDefault="00930F97" w:rsidP="00930F97">
      <w:pPr>
        <w:pStyle w:val="ListParagraph"/>
        <w:numPr>
          <w:ilvl w:val="0"/>
          <w:numId w:val="14"/>
        </w:numPr>
      </w:pPr>
      <w:r w:rsidRPr="00930F97">
        <w:t>A very small portion was defined as not defined</w:t>
      </w:r>
      <w:r>
        <w:t>. This may suggest inconsistent data or data is not available.</w:t>
      </w:r>
    </w:p>
    <w:p w14:paraId="6754CBE7" w14:textId="22FC5CCA" w:rsidR="00930F97" w:rsidRDefault="00930F97" w:rsidP="00930F97">
      <w:pPr>
        <w:pStyle w:val="ListParagraph"/>
        <w:numPr>
          <w:ilvl w:val="0"/>
          <w:numId w:val="14"/>
        </w:numPr>
      </w:pPr>
      <w:r w:rsidRPr="00930F97">
        <w:rPr>
          <w:b/>
          <w:bCs/>
        </w:rPr>
        <w:t>Business impl</w:t>
      </w:r>
      <w:r>
        <w:rPr>
          <w:b/>
          <w:bCs/>
        </w:rPr>
        <w:t>ement</w:t>
      </w:r>
      <w:r w:rsidRPr="00930F97">
        <w:rPr>
          <w:b/>
          <w:bCs/>
        </w:rPr>
        <w:t>ation</w:t>
      </w:r>
      <w:r>
        <w:t xml:space="preserve"> can be done by using following steps:</w:t>
      </w:r>
    </w:p>
    <w:p w14:paraId="738352DC" w14:textId="77777777" w:rsidR="00930F97" w:rsidRDefault="00930F97" w:rsidP="00930F97">
      <w:pPr>
        <w:pStyle w:val="ListParagraph"/>
      </w:pPr>
      <w:r>
        <w:t>-</w:t>
      </w:r>
      <w:r>
        <w:t xml:space="preserve">Marketing strategies like EMI offers or loyalty programs should focus on </w:t>
      </w:r>
      <w:r>
        <w:rPr>
          <w:rStyle w:val="Strong"/>
        </w:rPr>
        <w:t>credit card users</w:t>
      </w:r>
      <w:r>
        <w:t>.</w:t>
      </w:r>
    </w:p>
    <w:p w14:paraId="44752225" w14:textId="6817E636" w:rsidR="00930F97" w:rsidRDefault="00930F97" w:rsidP="00930F97">
      <w:pPr>
        <w:pStyle w:val="ListParagraph"/>
      </w:pPr>
      <w:r>
        <w:t>-</w:t>
      </w:r>
      <w:r>
        <w:t xml:space="preserve">Enhancing </w:t>
      </w:r>
      <w:proofErr w:type="spellStart"/>
      <w:r>
        <w:t>Boleto</w:t>
      </w:r>
      <w:proofErr w:type="spellEnd"/>
      <w:r>
        <w:t xml:space="preserve"> support and promotions could cater to the non-credit audience</w:t>
      </w:r>
      <w:r w:rsidR="00400C79">
        <w:t xml:space="preserve"> </w:t>
      </w:r>
      <w:r>
        <w:t>segment.</w:t>
      </w:r>
    </w:p>
    <w:p w14:paraId="79C2B0EC" w14:textId="0E571FAE" w:rsidR="00930F97" w:rsidRDefault="00930F97" w:rsidP="00930F97">
      <w:pPr>
        <w:pStyle w:val="ListParagraph"/>
      </w:pPr>
      <w:r>
        <w:t>-</w:t>
      </w:r>
      <w:r>
        <w:t>Investigate the “</w:t>
      </w:r>
      <w:proofErr w:type="spellStart"/>
      <w:r>
        <w:t>not_defined</w:t>
      </w:r>
      <w:proofErr w:type="spellEnd"/>
      <w:r>
        <w:t>” portion to ensure no revenue data is lost or misclassified.</w:t>
      </w:r>
    </w:p>
    <w:p w14:paraId="06163468" w14:textId="77777777" w:rsidR="00CD3176" w:rsidRDefault="00000000">
      <w:pPr>
        <w:pStyle w:val="Heading1"/>
      </w:pPr>
      <w:r>
        <w:t>5. Product Rating Analysis</w:t>
      </w:r>
    </w:p>
    <w:p w14:paraId="063548A4" w14:textId="443C102A" w:rsidR="00CD3176" w:rsidRDefault="00000000">
      <w:r>
        <w:t>Determine the top 10 highest-rated products and the bottom 10 lowest-rated products using a bar or column chart.</w:t>
      </w:r>
    </w:p>
    <w:p w14:paraId="6A5845A4" w14:textId="77777777" w:rsidR="00A35141" w:rsidRDefault="00A35141">
      <w:r>
        <w:rPr>
          <w:noProof/>
        </w:rPr>
        <w:drawing>
          <wp:inline distT="0" distB="0" distL="0" distR="0" wp14:anchorId="1E15D662" wp14:editId="46CE3ED3">
            <wp:extent cx="1524000" cy="1661160"/>
            <wp:effectExtent l="0" t="0" r="0" b="0"/>
            <wp:docPr id="387926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26605" name="Picture 38792660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7733" cy="168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</w:t>
      </w:r>
      <w:r w:rsidRPr="00A35141">
        <w:drawing>
          <wp:inline distT="0" distB="0" distL="0" distR="0" wp14:anchorId="3126B1C9" wp14:editId="5B562AC3">
            <wp:extent cx="1515745" cy="1658521"/>
            <wp:effectExtent l="0" t="0" r="8255" b="0"/>
            <wp:docPr id="39871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10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5261" cy="169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178FBE" w14:textId="72681B03" w:rsidR="00BF47E7" w:rsidRPr="00BF47E7" w:rsidRDefault="00BF47E7" w:rsidP="00BF47E7">
      <w:pPr>
        <w:pStyle w:val="ListParagraph"/>
        <w:numPr>
          <w:ilvl w:val="0"/>
          <w:numId w:val="18"/>
        </w:numPr>
      </w:pPr>
      <w:r w:rsidRPr="00BF47E7">
        <w:lastRenderedPageBreak/>
        <w:t xml:space="preserve">All top 10 products have received a </w:t>
      </w:r>
      <w:r w:rsidRPr="00BF47E7">
        <w:rPr>
          <w:b/>
          <w:bCs/>
        </w:rPr>
        <w:t>perfect average rating of 5.00</w:t>
      </w:r>
      <w:r w:rsidRPr="00BF47E7">
        <w:t>.</w:t>
      </w:r>
    </w:p>
    <w:p w14:paraId="66F220BC" w14:textId="12C23CD7" w:rsidR="00BF47E7" w:rsidRPr="00BF47E7" w:rsidRDefault="00BF47E7" w:rsidP="00BF47E7">
      <w:r>
        <w:t xml:space="preserve">       </w:t>
      </w:r>
      <w:r w:rsidRPr="00BF47E7">
        <w:t>This indicates:</w:t>
      </w:r>
    </w:p>
    <w:p w14:paraId="71DEB109" w14:textId="77777777" w:rsidR="00BF47E7" w:rsidRPr="00BF47E7" w:rsidRDefault="00BF47E7" w:rsidP="00BF47E7">
      <w:pPr>
        <w:numPr>
          <w:ilvl w:val="0"/>
          <w:numId w:val="17"/>
        </w:numPr>
      </w:pPr>
      <w:r w:rsidRPr="00BF47E7">
        <w:rPr>
          <w:b/>
          <w:bCs/>
        </w:rPr>
        <w:t>High customer satisfaction</w:t>
      </w:r>
      <w:r w:rsidRPr="00BF47E7">
        <w:t>, likely due to product quality, accurate descriptions, or good delivery experience.</w:t>
      </w:r>
    </w:p>
    <w:p w14:paraId="073A9B9C" w14:textId="77777777" w:rsidR="00BF47E7" w:rsidRPr="00BF47E7" w:rsidRDefault="00BF47E7" w:rsidP="00BF47E7">
      <w:pPr>
        <w:numPr>
          <w:ilvl w:val="0"/>
          <w:numId w:val="17"/>
        </w:numPr>
      </w:pPr>
      <w:r w:rsidRPr="00BF47E7">
        <w:t xml:space="preserve">These products might have </w:t>
      </w:r>
      <w:r w:rsidRPr="00BF47E7">
        <w:rPr>
          <w:b/>
          <w:bCs/>
        </w:rPr>
        <w:t>low but consistent review counts</w:t>
      </w:r>
      <w:r w:rsidRPr="00BF47E7">
        <w:t>, so further checking number of reviews could validate reliability.</w:t>
      </w:r>
    </w:p>
    <w:p w14:paraId="48BD2BF0" w14:textId="18BA13CC" w:rsidR="00BF47E7" w:rsidRDefault="00BF47E7" w:rsidP="00BF47E7">
      <w:pPr>
        <w:pStyle w:val="ListParagraph"/>
        <w:numPr>
          <w:ilvl w:val="0"/>
          <w:numId w:val="17"/>
        </w:numPr>
      </w:pPr>
      <w:r w:rsidRPr="00BF47E7">
        <w:t xml:space="preserve">These could be promoted in marketing campaigns as </w:t>
      </w:r>
      <w:r w:rsidRPr="00BF47E7">
        <w:rPr>
          <w:b/>
          <w:bCs/>
        </w:rPr>
        <w:t>"Top Rated Products"</w:t>
      </w:r>
      <w:r w:rsidRPr="00BF47E7">
        <w:t xml:space="preserve"> to drive trust and conversions.</w:t>
      </w:r>
    </w:p>
    <w:p w14:paraId="60F67D19" w14:textId="77777777" w:rsidR="00BF47E7" w:rsidRDefault="00BF47E7" w:rsidP="00BF47E7">
      <w:pPr>
        <w:pStyle w:val="ListParagraph"/>
      </w:pPr>
    </w:p>
    <w:p w14:paraId="31958D99" w14:textId="042A7607" w:rsidR="00BF47E7" w:rsidRPr="00BF47E7" w:rsidRDefault="00BF47E7" w:rsidP="00BF47E7">
      <w:pPr>
        <w:pStyle w:val="ListParagraph"/>
        <w:numPr>
          <w:ilvl w:val="0"/>
          <w:numId w:val="17"/>
        </w:numPr>
      </w:pPr>
      <w:r w:rsidRPr="00BF47E7">
        <w:rPr>
          <w:b/>
          <w:bCs/>
        </w:rPr>
        <w:t>All bottom 10 products are rated</w:t>
      </w:r>
      <w:r w:rsidRPr="00BF47E7">
        <w:t xml:space="preserve"> </w:t>
      </w:r>
      <w:r w:rsidRPr="00BF47E7">
        <w:rPr>
          <w:b/>
          <w:bCs/>
        </w:rPr>
        <w:t>1.00</w:t>
      </w:r>
      <w:r w:rsidRPr="00BF47E7">
        <w:t>, the lowest possible score.</w:t>
      </w:r>
    </w:p>
    <w:p w14:paraId="5165FB1A" w14:textId="6298A10A" w:rsidR="00BF47E7" w:rsidRPr="00BF47E7" w:rsidRDefault="00BF47E7" w:rsidP="00BF47E7">
      <w:r w:rsidRPr="00BF47E7">
        <w:t xml:space="preserve"> </w:t>
      </w:r>
      <w:r>
        <w:t xml:space="preserve">      </w:t>
      </w:r>
      <w:r w:rsidRPr="00BF47E7">
        <w:t xml:space="preserve">This reflects </w:t>
      </w:r>
      <w:r w:rsidRPr="00BF47E7">
        <w:rPr>
          <w:b/>
          <w:bCs/>
        </w:rPr>
        <w:t>poor customer experience</w:t>
      </w:r>
      <w:r w:rsidRPr="00BF47E7">
        <w:t>, possibly due to:</w:t>
      </w:r>
    </w:p>
    <w:p w14:paraId="505EEA16" w14:textId="77777777" w:rsidR="00BF47E7" w:rsidRPr="00BF47E7" w:rsidRDefault="00BF47E7" w:rsidP="00BF47E7">
      <w:pPr>
        <w:numPr>
          <w:ilvl w:val="0"/>
          <w:numId w:val="19"/>
        </w:numPr>
      </w:pPr>
      <w:r w:rsidRPr="00BF47E7">
        <w:t>Product defects</w:t>
      </w:r>
    </w:p>
    <w:p w14:paraId="64473F6F" w14:textId="77777777" w:rsidR="00BF47E7" w:rsidRPr="00BF47E7" w:rsidRDefault="00BF47E7" w:rsidP="00BF47E7">
      <w:pPr>
        <w:numPr>
          <w:ilvl w:val="0"/>
          <w:numId w:val="19"/>
        </w:numPr>
      </w:pPr>
      <w:r w:rsidRPr="00BF47E7">
        <w:t>Mismatched expectations</w:t>
      </w:r>
    </w:p>
    <w:p w14:paraId="1C595F51" w14:textId="77777777" w:rsidR="00BF47E7" w:rsidRPr="00BF47E7" w:rsidRDefault="00BF47E7" w:rsidP="00BF47E7">
      <w:pPr>
        <w:numPr>
          <w:ilvl w:val="0"/>
          <w:numId w:val="19"/>
        </w:numPr>
      </w:pPr>
      <w:r w:rsidRPr="00BF47E7">
        <w:t>Late delivery</w:t>
      </w:r>
    </w:p>
    <w:p w14:paraId="2BAA5FAC" w14:textId="77777777" w:rsidR="00BF47E7" w:rsidRPr="00BF47E7" w:rsidRDefault="00BF47E7" w:rsidP="00BF47E7">
      <w:pPr>
        <w:numPr>
          <w:ilvl w:val="0"/>
          <w:numId w:val="19"/>
        </w:numPr>
      </w:pPr>
      <w:r w:rsidRPr="00BF47E7">
        <w:t>Incorrect item sent</w:t>
      </w:r>
    </w:p>
    <w:p w14:paraId="42251AA2" w14:textId="58D7351C" w:rsidR="00BF47E7" w:rsidRPr="00BF47E7" w:rsidRDefault="00BF47E7" w:rsidP="00BF47E7">
      <w:pPr>
        <w:ind w:left="360"/>
      </w:pPr>
      <w:r w:rsidRPr="00BF47E7">
        <w:t>Many of these products may require:</w:t>
      </w:r>
    </w:p>
    <w:p w14:paraId="247B87D4" w14:textId="77777777" w:rsidR="00BF47E7" w:rsidRPr="00BF47E7" w:rsidRDefault="00BF47E7" w:rsidP="00BF47E7">
      <w:pPr>
        <w:numPr>
          <w:ilvl w:val="0"/>
          <w:numId w:val="20"/>
        </w:numPr>
      </w:pPr>
      <w:r w:rsidRPr="00BF47E7">
        <w:rPr>
          <w:b/>
          <w:bCs/>
        </w:rPr>
        <w:t>Further investigation</w:t>
      </w:r>
    </w:p>
    <w:p w14:paraId="321694BA" w14:textId="77777777" w:rsidR="00BF47E7" w:rsidRPr="00BF47E7" w:rsidRDefault="00BF47E7" w:rsidP="00BF47E7">
      <w:pPr>
        <w:numPr>
          <w:ilvl w:val="0"/>
          <w:numId w:val="20"/>
        </w:numPr>
      </w:pPr>
      <w:r w:rsidRPr="00BF47E7">
        <w:rPr>
          <w:b/>
          <w:bCs/>
        </w:rPr>
        <w:t>Customer feedback analysis</w:t>
      </w:r>
    </w:p>
    <w:p w14:paraId="27546CB4" w14:textId="77777777" w:rsidR="00BF47E7" w:rsidRPr="00BF47E7" w:rsidRDefault="00BF47E7" w:rsidP="00BF47E7">
      <w:pPr>
        <w:numPr>
          <w:ilvl w:val="0"/>
          <w:numId w:val="20"/>
        </w:numPr>
      </w:pPr>
      <w:r w:rsidRPr="00BF47E7">
        <w:rPr>
          <w:b/>
          <w:bCs/>
        </w:rPr>
        <w:t>Vendor or quality audits</w:t>
      </w:r>
    </w:p>
    <w:p w14:paraId="6CDAF3A7" w14:textId="53A1564B" w:rsidR="00BF47E7" w:rsidRPr="00BF47E7" w:rsidRDefault="00BF47E7" w:rsidP="00BF47E7">
      <w:r w:rsidRPr="00BF47E7">
        <w:t xml:space="preserve">If the ratings come from very few reviews, consider </w:t>
      </w:r>
      <w:r w:rsidRPr="00BF47E7">
        <w:rPr>
          <w:b/>
          <w:bCs/>
        </w:rPr>
        <w:t>review normalization</w:t>
      </w:r>
      <w:r w:rsidRPr="00BF47E7">
        <w:t xml:space="preserve"> or </w:t>
      </w:r>
      <w:r w:rsidRPr="00BF47E7">
        <w:rPr>
          <w:b/>
          <w:bCs/>
        </w:rPr>
        <w:t>minimum review thresholds</w:t>
      </w:r>
      <w:r w:rsidRPr="00BF47E7">
        <w:t xml:space="preserve"> before taking action.</w:t>
      </w:r>
    </w:p>
    <w:p w14:paraId="45306623" w14:textId="77777777" w:rsidR="00CD3176" w:rsidRDefault="00000000">
      <w:pPr>
        <w:pStyle w:val="Heading1"/>
      </w:pPr>
      <w:r>
        <w:t>6. State-wise Sales Analysis</w:t>
      </w:r>
    </w:p>
    <w:p w14:paraId="6CCB2D25" w14:textId="4A3699B3" w:rsidR="00CD3176" w:rsidRDefault="00000000">
      <w:r>
        <w:t>Identify and visually represent states with high and low sales, providing a clear understanding of regional sales performance.</w:t>
      </w:r>
    </w:p>
    <w:p w14:paraId="3BFDB6F0" w14:textId="77777777" w:rsidR="007336AF" w:rsidRDefault="00BF47E7" w:rsidP="007336AF">
      <w:pPr>
        <w:rPr>
          <w:rStyle w:val="Strong"/>
          <w:b w:val="0"/>
          <w:bCs w:val="0"/>
        </w:rPr>
      </w:pPr>
      <w:r w:rsidRPr="00BF47E7">
        <w:lastRenderedPageBreak/>
        <w:drawing>
          <wp:inline distT="0" distB="0" distL="0" distR="0" wp14:anchorId="60118DC1" wp14:editId="498696E1">
            <wp:extent cx="5753100" cy="3078480"/>
            <wp:effectExtent l="0" t="0" r="0" b="7620"/>
            <wp:docPr id="81552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259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7431" cy="30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C453" w14:textId="6D644D7D" w:rsidR="00BF47E7" w:rsidRPr="007336AF" w:rsidRDefault="007336AF" w:rsidP="007336AF">
      <w:pPr>
        <w:rPr>
          <w:color w:val="D34817" w:themeColor="accent1"/>
        </w:rPr>
      </w:pPr>
      <w:r w:rsidRPr="007336AF">
        <w:rPr>
          <w:rStyle w:val="Strong"/>
          <w:b w:val="0"/>
          <w:bCs w:val="0"/>
          <w:color w:val="D34817" w:themeColor="accent1"/>
        </w:rPr>
        <w:t>TOP performing states</w:t>
      </w:r>
    </w:p>
    <w:p w14:paraId="79D4A673" w14:textId="77777777" w:rsidR="00BF47E7" w:rsidRDefault="00BF47E7" w:rsidP="00BF47E7">
      <w:pPr>
        <w:pStyle w:val="NormalWeb"/>
        <w:numPr>
          <w:ilvl w:val="0"/>
          <w:numId w:val="22"/>
        </w:numPr>
      </w:pPr>
      <w:r>
        <w:rPr>
          <w:rStyle w:val="Strong"/>
        </w:rPr>
        <w:t>São Paulo (SP)</w:t>
      </w:r>
      <w:r>
        <w:t xml:space="preserve"> dominates the sales chart with </w:t>
      </w:r>
      <w:r>
        <w:rPr>
          <w:rStyle w:val="Strong"/>
        </w:rPr>
        <w:t>5.2 million</w:t>
      </w:r>
      <w:r>
        <w:t xml:space="preserve">, contributing a </w:t>
      </w:r>
      <w:r>
        <w:rPr>
          <w:rStyle w:val="Strong"/>
        </w:rPr>
        <w:t>huge share of total sales</w:t>
      </w:r>
      <w:r>
        <w:t>.</w:t>
      </w:r>
    </w:p>
    <w:p w14:paraId="6E02852F" w14:textId="77777777" w:rsidR="00BF47E7" w:rsidRDefault="00BF47E7" w:rsidP="00BF47E7">
      <w:pPr>
        <w:pStyle w:val="NormalWeb"/>
        <w:numPr>
          <w:ilvl w:val="0"/>
          <w:numId w:val="22"/>
        </w:numPr>
      </w:pPr>
      <w:r>
        <w:t>Followed by:</w:t>
      </w:r>
    </w:p>
    <w:p w14:paraId="71BC3C34" w14:textId="77777777" w:rsidR="00BF47E7" w:rsidRDefault="00BF47E7" w:rsidP="00BF47E7">
      <w:pPr>
        <w:pStyle w:val="NormalWeb"/>
        <w:numPr>
          <w:ilvl w:val="1"/>
          <w:numId w:val="22"/>
        </w:numPr>
      </w:pPr>
      <w:r>
        <w:rPr>
          <w:rStyle w:val="Strong"/>
        </w:rPr>
        <w:t>Rio de Janeiro (RJ)</w:t>
      </w:r>
      <w:r>
        <w:t xml:space="preserve"> – 1.8M</w:t>
      </w:r>
    </w:p>
    <w:p w14:paraId="5D5E98E4" w14:textId="77777777" w:rsidR="00BF47E7" w:rsidRDefault="00BF47E7" w:rsidP="00BF47E7">
      <w:pPr>
        <w:pStyle w:val="NormalWeb"/>
        <w:numPr>
          <w:ilvl w:val="1"/>
          <w:numId w:val="22"/>
        </w:numPr>
      </w:pPr>
      <w:r>
        <w:rPr>
          <w:rStyle w:val="Strong"/>
        </w:rPr>
        <w:t>Minas Gerais (MG)</w:t>
      </w:r>
      <w:r>
        <w:t xml:space="preserve"> – 1.6M</w:t>
      </w:r>
    </w:p>
    <w:p w14:paraId="111C425D" w14:textId="77777777" w:rsidR="00BF47E7" w:rsidRDefault="00BF47E7" w:rsidP="00BF47E7">
      <w:pPr>
        <w:pStyle w:val="NormalWeb"/>
        <w:numPr>
          <w:ilvl w:val="0"/>
          <w:numId w:val="22"/>
        </w:numPr>
      </w:pPr>
      <w:r>
        <w:t xml:space="preserve">These top 3 states account for the </w:t>
      </w:r>
      <w:r>
        <w:rPr>
          <w:rStyle w:val="Strong"/>
        </w:rPr>
        <w:t>majority of national sales</w:t>
      </w:r>
      <w:r>
        <w:t>, indicating:</w:t>
      </w:r>
    </w:p>
    <w:p w14:paraId="042AB3F8" w14:textId="77777777" w:rsidR="00BF47E7" w:rsidRDefault="00BF47E7" w:rsidP="00BF47E7">
      <w:pPr>
        <w:pStyle w:val="NormalWeb"/>
        <w:numPr>
          <w:ilvl w:val="1"/>
          <w:numId w:val="22"/>
        </w:numPr>
      </w:pPr>
      <w:r>
        <w:t>High population density</w:t>
      </w:r>
    </w:p>
    <w:p w14:paraId="7546DDD3" w14:textId="77777777" w:rsidR="00BF47E7" w:rsidRDefault="00BF47E7" w:rsidP="00BF47E7">
      <w:pPr>
        <w:pStyle w:val="NormalWeb"/>
        <w:numPr>
          <w:ilvl w:val="1"/>
          <w:numId w:val="22"/>
        </w:numPr>
      </w:pPr>
      <w:r>
        <w:t>Strong purchasing behavior</w:t>
      </w:r>
    </w:p>
    <w:p w14:paraId="6522FC44" w14:textId="266BEE81" w:rsidR="00BF47E7" w:rsidRDefault="00BF47E7" w:rsidP="00BF47E7">
      <w:pPr>
        <w:pStyle w:val="NormalWeb"/>
        <w:numPr>
          <w:ilvl w:val="1"/>
          <w:numId w:val="22"/>
        </w:numPr>
      </w:pPr>
      <w:r>
        <w:t>Possible regional promotions or supply chain strength</w:t>
      </w:r>
    </w:p>
    <w:p w14:paraId="4E9430C9" w14:textId="77777777" w:rsidR="00BF47E7" w:rsidRPr="00BF47E7" w:rsidRDefault="00BF47E7" w:rsidP="00BF47E7">
      <w:pPr>
        <w:rPr>
          <w:b/>
          <w:bCs/>
        </w:rPr>
      </w:pPr>
      <w:r w:rsidRPr="00BF47E7">
        <w:rPr>
          <w:b/>
          <w:bCs/>
        </w:rPr>
        <w:t>Mid-Range States:</w:t>
      </w:r>
    </w:p>
    <w:p w14:paraId="26207659" w14:textId="77777777" w:rsidR="00BF47E7" w:rsidRPr="00BF47E7" w:rsidRDefault="00BF47E7" w:rsidP="00BF47E7">
      <w:pPr>
        <w:numPr>
          <w:ilvl w:val="0"/>
          <w:numId w:val="23"/>
        </w:numPr>
      </w:pPr>
      <w:r w:rsidRPr="00BF47E7">
        <w:rPr>
          <w:b/>
          <w:bCs/>
        </w:rPr>
        <w:t>RS, PR, SC, BA</w:t>
      </w:r>
      <w:r w:rsidRPr="00BF47E7">
        <w:t xml:space="preserve"> each contribute between </w:t>
      </w:r>
      <w:r w:rsidRPr="00BF47E7">
        <w:rPr>
          <w:b/>
          <w:bCs/>
        </w:rPr>
        <w:t>0.5M to 0.8M</w:t>
      </w:r>
      <w:r w:rsidRPr="00BF47E7">
        <w:t>, showing decent engagement.</w:t>
      </w:r>
    </w:p>
    <w:p w14:paraId="4668FA51" w14:textId="77777777" w:rsidR="00BF47E7" w:rsidRPr="00BF47E7" w:rsidRDefault="00BF47E7" w:rsidP="00BF47E7">
      <w:pPr>
        <w:numPr>
          <w:ilvl w:val="0"/>
          <w:numId w:val="23"/>
        </w:numPr>
      </w:pPr>
      <w:r w:rsidRPr="00BF47E7">
        <w:t xml:space="preserve">These are important secondary markets with </w:t>
      </w:r>
      <w:r w:rsidRPr="00BF47E7">
        <w:rPr>
          <w:b/>
          <w:bCs/>
        </w:rPr>
        <w:t>growth potential</w:t>
      </w:r>
      <w:r w:rsidRPr="00BF47E7">
        <w:t xml:space="preserve"> through targeted campaigns or improved logistics.</w:t>
      </w:r>
    </w:p>
    <w:p w14:paraId="4457C1ED" w14:textId="77777777" w:rsidR="00BF47E7" w:rsidRPr="00BF47E7" w:rsidRDefault="00BF47E7" w:rsidP="00BF47E7">
      <w:pPr>
        <w:rPr>
          <w:b/>
          <w:bCs/>
        </w:rPr>
      </w:pPr>
      <w:r w:rsidRPr="00BF47E7">
        <w:rPr>
          <w:rFonts w:ascii="Segoe UI Emoji" w:hAnsi="Segoe UI Emoji" w:cs="Segoe UI Emoji"/>
          <w:b/>
          <w:bCs/>
        </w:rPr>
        <w:t>🔻</w:t>
      </w:r>
      <w:r w:rsidRPr="00BF47E7">
        <w:rPr>
          <w:b/>
          <w:bCs/>
        </w:rPr>
        <w:t xml:space="preserve"> Low-Contribution States:</w:t>
      </w:r>
    </w:p>
    <w:p w14:paraId="75B78C64" w14:textId="77777777" w:rsidR="00BF47E7" w:rsidRPr="00BF47E7" w:rsidRDefault="00BF47E7" w:rsidP="00BF47E7">
      <w:pPr>
        <w:numPr>
          <w:ilvl w:val="0"/>
          <w:numId w:val="24"/>
        </w:numPr>
      </w:pPr>
      <w:r w:rsidRPr="00BF47E7">
        <w:t xml:space="preserve">States like </w:t>
      </w:r>
      <w:r w:rsidRPr="00BF47E7">
        <w:rPr>
          <w:b/>
          <w:bCs/>
        </w:rPr>
        <w:t>RO, TO, AM</w:t>
      </w:r>
      <w:r w:rsidRPr="00BF47E7">
        <w:t xml:space="preserve"> have </w:t>
      </w:r>
      <w:r w:rsidRPr="00BF47E7">
        <w:rPr>
          <w:b/>
          <w:bCs/>
        </w:rPr>
        <w:t>negligible or zero sales</w:t>
      </w:r>
      <w:r w:rsidRPr="00BF47E7">
        <w:t>.</w:t>
      </w:r>
    </w:p>
    <w:p w14:paraId="1D91DCBB" w14:textId="77777777" w:rsidR="00BF47E7" w:rsidRPr="00BF47E7" w:rsidRDefault="00BF47E7" w:rsidP="00BF47E7">
      <w:pPr>
        <w:numPr>
          <w:ilvl w:val="0"/>
          <w:numId w:val="24"/>
        </w:numPr>
      </w:pPr>
      <w:r w:rsidRPr="00BF47E7">
        <w:t xml:space="preserve">Others like </w:t>
      </w:r>
      <w:r w:rsidRPr="00BF47E7">
        <w:rPr>
          <w:b/>
          <w:bCs/>
        </w:rPr>
        <w:t>SE, AL, RN, PI</w:t>
      </w:r>
      <w:r w:rsidRPr="00BF47E7">
        <w:t xml:space="preserve"> contribute just around </w:t>
      </w:r>
      <w:r w:rsidRPr="00BF47E7">
        <w:rPr>
          <w:b/>
          <w:bCs/>
        </w:rPr>
        <w:t>0.1M</w:t>
      </w:r>
      <w:r w:rsidRPr="00BF47E7">
        <w:t>, possibly due to:</w:t>
      </w:r>
    </w:p>
    <w:p w14:paraId="7FCDA3E8" w14:textId="77777777" w:rsidR="00BF47E7" w:rsidRPr="00BF47E7" w:rsidRDefault="00BF47E7" w:rsidP="00BF47E7">
      <w:pPr>
        <w:numPr>
          <w:ilvl w:val="1"/>
          <w:numId w:val="24"/>
        </w:numPr>
      </w:pPr>
      <w:r w:rsidRPr="00BF47E7">
        <w:t>Less marketing reach</w:t>
      </w:r>
    </w:p>
    <w:p w14:paraId="584BAA9D" w14:textId="77777777" w:rsidR="00BF47E7" w:rsidRDefault="00BF47E7" w:rsidP="00BF47E7">
      <w:pPr>
        <w:numPr>
          <w:ilvl w:val="1"/>
          <w:numId w:val="24"/>
        </w:numPr>
      </w:pPr>
      <w:r w:rsidRPr="00BF47E7">
        <w:t>Poor infrastructure/logistics</w:t>
      </w:r>
    </w:p>
    <w:p w14:paraId="42B1459F" w14:textId="77777777" w:rsidR="00BF47E7" w:rsidRPr="00BF47E7" w:rsidRDefault="00BF47E7" w:rsidP="00BF47E7">
      <w:pPr>
        <w:rPr>
          <w:b/>
          <w:bCs/>
        </w:rPr>
      </w:pPr>
      <w:r w:rsidRPr="00BF47E7">
        <w:rPr>
          <w:b/>
          <w:bCs/>
        </w:rPr>
        <w:lastRenderedPageBreak/>
        <w:t>Opportunities for Growth:</w:t>
      </w:r>
    </w:p>
    <w:p w14:paraId="25C8C69F" w14:textId="77777777" w:rsidR="00BF47E7" w:rsidRPr="00BF47E7" w:rsidRDefault="00BF47E7" w:rsidP="00BF47E7">
      <w:pPr>
        <w:numPr>
          <w:ilvl w:val="0"/>
          <w:numId w:val="25"/>
        </w:numPr>
      </w:pPr>
      <w:r w:rsidRPr="00BF47E7">
        <w:t xml:space="preserve">The business can focus on </w:t>
      </w:r>
      <w:r w:rsidRPr="00BF47E7">
        <w:rPr>
          <w:b/>
          <w:bCs/>
        </w:rPr>
        <w:t>expansion strategies</w:t>
      </w:r>
      <w:r w:rsidRPr="00BF47E7">
        <w:t xml:space="preserve"> in underperforming states through:</w:t>
      </w:r>
    </w:p>
    <w:p w14:paraId="22787DC8" w14:textId="77777777" w:rsidR="00BF47E7" w:rsidRPr="00BF47E7" w:rsidRDefault="00BF47E7" w:rsidP="00BF47E7">
      <w:pPr>
        <w:numPr>
          <w:ilvl w:val="1"/>
          <w:numId w:val="25"/>
        </w:numPr>
      </w:pPr>
      <w:r w:rsidRPr="00BF47E7">
        <w:t>Localized marketing</w:t>
      </w:r>
    </w:p>
    <w:p w14:paraId="037E2818" w14:textId="77777777" w:rsidR="00BF47E7" w:rsidRPr="00BF47E7" w:rsidRDefault="00BF47E7" w:rsidP="00BF47E7">
      <w:pPr>
        <w:numPr>
          <w:ilvl w:val="1"/>
          <w:numId w:val="25"/>
        </w:numPr>
      </w:pPr>
      <w:r w:rsidRPr="00BF47E7">
        <w:t>Influencer or partner collaborations</w:t>
      </w:r>
    </w:p>
    <w:p w14:paraId="19D4CA4E" w14:textId="77777777" w:rsidR="00BF47E7" w:rsidRPr="00BF47E7" w:rsidRDefault="00BF47E7" w:rsidP="00BF47E7">
      <w:pPr>
        <w:numPr>
          <w:ilvl w:val="1"/>
          <w:numId w:val="25"/>
        </w:numPr>
      </w:pPr>
      <w:r w:rsidRPr="00BF47E7">
        <w:t>Supply chain improvements</w:t>
      </w:r>
    </w:p>
    <w:p w14:paraId="3D8F3DF5" w14:textId="77777777" w:rsidR="00CD3176" w:rsidRDefault="00CD3176"/>
    <w:p w14:paraId="3B48C6E2" w14:textId="77777777" w:rsidR="00CD3176" w:rsidRDefault="00000000">
      <w:pPr>
        <w:pStyle w:val="Heading1"/>
      </w:pPr>
      <w:r>
        <w:t>7. Seasonal Sales Patterns</w:t>
      </w:r>
    </w:p>
    <w:p w14:paraId="72028EA3" w14:textId="5BFC8010" w:rsidR="00CD3176" w:rsidRDefault="00000000">
      <w:r>
        <w:t>Investigate and visualize any seasonal patterns (Quarterly) or trends in sales data over the course of the year.</w:t>
      </w:r>
    </w:p>
    <w:p w14:paraId="59485EA1" w14:textId="665D7841" w:rsidR="00BF47E7" w:rsidRDefault="00BF47E7">
      <w:r w:rsidRPr="00BF47E7">
        <w:drawing>
          <wp:inline distT="0" distB="0" distL="0" distR="0" wp14:anchorId="2ADB3A65" wp14:editId="5ED90DD6">
            <wp:extent cx="2766060" cy="2527018"/>
            <wp:effectExtent l="0" t="0" r="0" b="6985"/>
            <wp:docPr id="648505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058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3292" cy="254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6D01" w14:textId="1D90E49B" w:rsidR="007336AF" w:rsidRPr="007336AF" w:rsidRDefault="007336AF" w:rsidP="007336AF">
      <w:pPr>
        <w:rPr>
          <w:b/>
          <w:bCs/>
        </w:rPr>
      </w:pPr>
      <w:r w:rsidRPr="007336AF">
        <w:rPr>
          <w:b/>
          <w:bCs/>
        </w:rPr>
        <w:t>Overall Trend:</w:t>
      </w:r>
    </w:p>
    <w:p w14:paraId="2E2F9588" w14:textId="77777777" w:rsidR="007336AF" w:rsidRPr="007336AF" w:rsidRDefault="007336AF" w:rsidP="007336AF">
      <w:pPr>
        <w:numPr>
          <w:ilvl w:val="0"/>
          <w:numId w:val="26"/>
        </w:numPr>
      </w:pPr>
      <w:r w:rsidRPr="007336AF">
        <w:t xml:space="preserve">There is a </w:t>
      </w:r>
      <w:r w:rsidRPr="007336AF">
        <w:rPr>
          <w:b/>
          <w:bCs/>
        </w:rPr>
        <w:t>clear upward trend</w:t>
      </w:r>
      <w:r w:rsidRPr="007336AF">
        <w:t xml:space="preserve"> in sales from </w:t>
      </w:r>
      <w:r w:rsidRPr="007336AF">
        <w:rPr>
          <w:b/>
          <w:bCs/>
        </w:rPr>
        <w:t>Q3 2016 to Q2 2018</w:t>
      </w:r>
      <w:r w:rsidRPr="007336AF">
        <w:t>.</w:t>
      </w:r>
    </w:p>
    <w:p w14:paraId="728857E6" w14:textId="77777777" w:rsidR="007336AF" w:rsidRPr="007336AF" w:rsidRDefault="007336AF" w:rsidP="007336AF">
      <w:pPr>
        <w:numPr>
          <w:ilvl w:val="0"/>
          <w:numId w:val="26"/>
        </w:numPr>
      </w:pPr>
      <w:r w:rsidRPr="007336AF">
        <w:t xml:space="preserve">Total sales have grown from </w:t>
      </w:r>
      <w:r w:rsidRPr="007336AF">
        <w:rPr>
          <w:b/>
          <w:bCs/>
        </w:rPr>
        <w:t>almost zero to ~3 million</w:t>
      </w:r>
      <w:r w:rsidRPr="007336AF">
        <w:t xml:space="preserve"> during this period.</w:t>
      </w:r>
    </w:p>
    <w:p w14:paraId="73A0F60E" w14:textId="77777777" w:rsidR="007336AF" w:rsidRPr="007336AF" w:rsidRDefault="007336AF" w:rsidP="007336AF">
      <w:pPr>
        <w:numPr>
          <w:ilvl w:val="0"/>
          <w:numId w:val="26"/>
        </w:numPr>
      </w:pPr>
      <w:r w:rsidRPr="007336AF">
        <w:t>This consistent rise reflects:</w:t>
      </w:r>
    </w:p>
    <w:p w14:paraId="010C7FAF" w14:textId="77777777" w:rsidR="007336AF" w:rsidRPr="007336AF" w:rsidRDefault="007336AF" w:rsidP="007336AF">
      <w:pPr>
        <w:numPr>
          <w:ilvl w:val="1"/>
          <w:numId w:val="26"/>
        </w:numPr>
      </w:pPr>
      <w:r w:rsidRPr="007336AF">
        <w:t>Increasing customer base</w:t>
      </w:r>
    </w:p>
    <w:p w14:paraId="578B1525" w14:textId="77777777" w:rsidR="007336AF" w:rsidRPr="007336AF" w:rsidRDefault="007336AF" w:rsidP="007336AF">
      <w:pPr>
        <w:numPr>
          <w:ilvl w:val="1"/>
          <w:numId w:val="26"/>
        </w:numPr>
      </w:pPr>
      <w:r w:rsidRPr="007336AF">
        <w:t>Improved brand visibility</w:t>
      </w:r>
    </w:p>
    <w:p w14:paraId="0DB70B9B" w14:textId="77777777" w:rsidR="007336AF" w:rsidRPr="007336AF" w:rsidRDefault="007336AF" w:rsidP="007336AF">
      <w:pPr>
        <w:numPr>
          <w:ilvl w:val="1"/>
          <w:numId w:val="26"/>
        </w:numPr>
      </w:pPr>
      <w:r w:rsidRPr="007336AF">
        <w:t>Possibly better seasonal offerings or logistics over time</w:t>
      </w:r>
    </w:p>
    <w:p w14:paraId="4244EC1C" w14:textId="7390FD8F" w:rsidR="007336AF" w:rsidRPr="007336AF" w:rsidRDefault="007336AF" w:rsidP="007336AF">
      <w:pPr>
        <w:rPr>
          <w:b/>
          <w:bCs/>
        </w:rPr>
      </w:pPr>
      <w:r w:rsidRPr="007336AF">
        <w:rPr>
          <w:b/>
          <w:bCs/>
        </w:rPr>
        <w:t>Quarterly Growth Highlights:</w:t>
      </w:r>
    </w:p>
    <w:p w14:paraId="6922CDDA" w14:textId="77777777" w:rsidR="007336AF" w:rsidRPr="007336AF" w:rsidRDefault="007336AF" w:rsidP="007336AF">
      <w:pPr>
        <w:numPr>
          <w:ilvl w:val="0"/>
          <w:numId w:val="27"/>
        </w:numPr>
      </w:pPr>
      <w:r w:rsidRPr="007336AF">
        <w:rPr>
          <w:b/>
          <w:bCs/>
        </w:rPr>
        <w:lastRenderedPageBreak/>
        <w:t>Major spike observed</w:t>
      </w:r>
      <w:r w:rsidRPr="007336AF">
        <w:t xml:space="preserve"> between </w:t>
      </w:r>
      <w:r w:rsidRPr="007336AF">
        <w:rPr>
          <w:b/>
          <w:bCs/>
        </w:rPr>
        <w:t>Q4 2017 and Q1 2018</w:t>
      </w:r>
      <w:r w:rsidRPr="007336AF">
        <w:t xml:space="preserve"> — indicating a strong Q1 performance.</w:t>
      </w:r>
    </w:p>
    <w:p w14:paraId="774022AC" w14:textId="77777777" w:rsidR="007336AF" w:rsidRPr="007336AF" w:rsidRDefault="007336AF" w:rsidP="007336AF">
      <w:pPr>
        <w:numPr>
          <w:ilvl w:val="0"/>
          <w:numId w:val="27"/>
        </w:numPr>
      </w:pPr>
      <w:r w:rsidRPr="007336AF">
        <w:rPr>
          <w:b/>
          <w:bCs/>
        </w:rPr>
        <w:t>Sharpest rise</w:t>
      </w:r>
      <w:r w:rsidRPr="007336AF">
        <w:t xml:space="preserve"> seen from </w:t>
      </w:r>
      <w:r w:rsidRPr="007336AF">
        <w:rPr>
          <w:b/>
          <w:bCs/>
        </w:rPr>
        <w:t>Q4 2017 to Q2 2018</w:t>
      </w:r>
      <w:r w:rsidRPr="007336AF">
        <w:t xml:space="preserve"> — suggests effective strategy deployment or high seasonal demand (likely due to promotions/festive season).</w:t>
      </w:r>
    </w:p>
    <w:p w14:paraId="727F11B3" w14:textId="721AE139" w:rsidR="007336AF" w:rsidRPr="007336AF" w:rsidRDefault="007336AF" w:rsidP="007336AF">
      <w:pPr>
        <w:rPr>
          <w:b/>
          <w:bCs/>
        </w:rPr>
      </w:pPr>
      <w:r w:rsidRPr="007336AF">
        <w:rPr>
          <w:b/>
          <w:bCs/>
        </w:rPr>
        <w:t>Early Quarters (2016 - Early 2017):</w:t>
      </w:r>
    </w:p>
    <w:p w14:paraId="0FD6EB8D" w14:textId="77777777" w:rsidR="007336AF" w:rsidRPr="007336AF" w:rsidRDefault="007336AF" w:rsidP="007336AF">
      <w:pPr>
        <w:numPr>
          <w:ilvl w:val="0"/>
          <w:numId w:val="28"/>
        </w:numPr>
      </w:pPr>
      <w:r w:rsidRPr="007336AF">
        <w:t xml:space="preserve">Sales were </w:t>
      </w:r>
      <w:r w:rsidRPr="007336AF">
        <w:rPr>
          <w:b/>
          <w:bCs/>
        </w:rPr>
        <w:t>very low or negligible</w:t>
      </w:r>
      <w:r w:rsidRPr="007336AF">
        <w:t xml:space="preserve"> until </w:t>
      </w:r>
      <w:r w:rsidRPr="007336AF">
        <w:rPr>
          <w:b/>
          <w:bCs/>
        </w:rPr>
        <w:t>Q4 2016</w:t>
      </w:r>
      <w:r w:rsidRPr="007336AF">
        <w:t>, indicating:</w:t>
      </w:r>
    </w:p>
    <w:p w14:paraId="43174CE0" w14:textId="77777777" w:rsidR="007336AF" w:rsidRPr="007336AF" w:rsidRDefault="007336AF" w:rsidP="007336AF">
      <w:pPr>
        <w:numPr>
          <w:ilvl w:val="1"/>
          <w:numId w:val="28"/>
        </w:numPr>
      </w:pPr>
      <w:r w:rsidRPr="007336AF">
        <w:t>Initial phase of business operations</w:t>
      </w:r>
    </w:p>
    <w:p w14:paraId="6FED003E" w14:textId="77777777" w:rsidR="007336AF" w:rsidRPr="007336AF" w:rsidRDefault="007336AF" w:rsidP="007336AF">
      <w:pPr>
        <w:numPr>
          <w:ilvl w:val="1"/>
          <w:numId w:val="28"/>
        </w:numPr>
      </w:pPr>
      <w:r w:rsidRPr="007336AF">
        <w:t>Market testing or limited operations</w:t>
      </w:r>
    </w:p>
    <w:p w14:paraId="722F46AD" w14:textId="77777777" w:rsidR="007336AF" w:rsidRPr="007336AF" w:rsidRDefault="007336AF" w:rsidP="007336AF">
      <w:pPr>
        <w:numPr>
          <w:ilvl w:val="1"/>
          <w:numId w:val="28"/>
        </w:numPr>
      </w:pPr>
      <w:r w:rsidRPr="007336AF">
        <w:t>Lack of customer awareness</w:t>
      </w:r>
    </w:p>
    <w:p w14:paraId="1AB75A4E" w14:textId="3BF97C3B" w:rsidR="007336AF" w:rsidRPr="007336AF" w:rsidRDefault="007336AF" w:rsidP="007336AF">
      <w:pPr>
        <w:rPr>
          <w:b/>
          <w:bCs/>
        </w:rPr>
      </w:pPr>
      <w:r w:rsidRPr="007336AF">
        <w:rPr>
          <w:b/>
          <w:bCs/>
        </w:rPr>
        <w:t xml:space="preserve"> Seasonality:</w:t>
      </w:r>
    </w:p>
    <w:p w14:paraId="071014C4" w14:textId="77777777" w:rsidR="007336AF" w:rsidRPr="007336AF" w:rsidRDefault="007336AF" w:rsidP="007336AF">
      <w:pPr>
        <w:numPr>
          <w:ilvl w:val="0"/>
          <w:numId w:val="29"/>
        </w:numPr>
      </w:pPr>
      <w:r w:rsidRPr="007336AF">
        <w:t xml:space="preserve">While the trend is generally upward, there’s a </w:t>
      </w:r>
      <w:r w:rsidRPr="007336AF">
        <w:rPr>
          <w:b/>
          <w:bCs/>
        </w:rPr>
        <w:t>steady seasonal climb</w:t>
      </w:r>
      <w:r w:rsidRPr="007336AF">
        <w:t xml:space="preserve">, with </w:t>
      </w:r>
      <w:r w:rsidRPr="007336AF">
        <w:rPr>
          <w:b/>
          <w:bCs/>
        </w:rPr>
        <w:t>no major drop in any quarter</w:t>
      </w:r>
      <w:r w:rsidRPr="007336AF">
        <w:t>.</w:t>
      </w:r>
    </w:p>
    <w:p w14:paraId="0EF9600C" w14:textId="77777777" w:rsidR="007336AF" w:rsidRPr="007336AF" w:rsidRDefault="007336AF" w:rsidP="007336AF">
      <w:pPr>
        <w:numPr>
          <w:ilvl w:val="0"/>
          <w:numId w:val="29"/>
        </w:numPr>
      </w:pPr>
      <w:r w:rsidRPr="007336AF">
        <w:t>This shows strong retention and consistent growth, rather than heavy dependency on a single festive season or event.</w:t>
      </w:r>
    </w:p>
    <w:p w14:paraId="74C28595" w14:textId="77777777" w:rsidR="00CD3176" w:rsidRDefault="00000000">
      <w:pPr>
        <w:pStyle w:val="Heading1"/>
      </w:pPr>
      <w:r>
        <w:t>8. Revenue Analysis</w:t>
      </w:r>
    </w:p>
    <w:p w14:paraId="658B996A" w14:textId="23D7F9FB" w:rsidR="00CD3176" w:rsidRDefault="00000000">
      <w:r>
        <w:t>Determine the total revenue generated by ShopNest Store and analyze how it changes over time (Yearly). Represent this information through suitable visuals to highlight trends and patterns.</w:t>
      </w:r>
    </w:p>
    <w:p w14:paraId="1FBB0E06" w14:textId="7EE323E1" w:rsidR="00CD3176" w:rsidRDefault="007336AF">
      <w:r w:rsidRPr="007336AF">
        <w:drawing>
          <wp:inline distT="0" distB="0" distL="0" distR="0" wp14:anchorId="6AE47D53" wp14:editId="05F12F73">
            <wp:extent cx="3436619" cy="2072640"/>
            <wp:effectExtent l="0" t="0" r="0" b="3810"/>
            <wp:docPr id="734066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662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239" cy="208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A111" w14:textId="77777777" w:rsidR="007336AF" w:rsidRPr="007336AF" w:rsidRDefault="007336AF" w:rsidP="007336AF">
      <w:pPr>
        <w:rPr>
          <w:b/>
          <w:bCs/>
        </w:rPr>
      </w:pPr>
      <w:r w:rsidRPr="007336AF">
        <w:rPr>
          <w:b/>
          <w:bCs/>
        </w:rPr>
        <w:t>Trend Overview:</w:t>
      </w:r>
    </w:p>
    <w:p w14:paraId="163BC0DA" w14:textId="77777777" w:rsidR="007336AF" w:rsidRPr="007336AF" w:rsidRDefault="007336AF" w:rsidP="007336AF">
      <w:pPr>
        <w:numPr>
          <w:ilvl w:val="0"/>
          <w:numId w:val="30"/>
        </w:numPr>
      </w:pPr>
      <w:r w:rsidRPr="007336AF">
        <w:rPr>
          <w:b/>
          <w:bCs/>
        </w:rPr>
        <w:t>Consistent Year-on-Year Growth</w:t>
      </w:r>
      <w:r w:rsidRPr="007336AF">
        <w:t xml:space="preserve"> from </w:t>
      </w:r>
      <w:r w:rsidRPr="007336AF">
        <w:rPr>
          <w:b/>
          <w:bCs/>
        </w:rPr>
        <w:t>2016 to 2018</w:t>
      </w:r>
      <w:r w:rsidRPr="007336AF">
        <w:t>:</w:t>
      </w:r>
    </w:p>
    <w:p w14:paraId="0D621D1A" w14:textId="22584FDC" w:rsidR="007336AF" w:rsidRPr="007336AF" w:rsidRDefault="007336AF" w:rsidP="007336AF">
      <w:pPr>
        <w:numPr>
          <w:ilvl w:val="1"/>
          <w:numId w:val="30"/>
        </w:numPr>
      </w:pPr>
      <w:r w:rsidRPr="007336AF">
        <w:t xml:space="preserve"> </w:t>
      </w:r>
      <w:r w:rsidRPr="007336AF">
        <w:rPr>
          <w:b/>
          <w:bCs/>
        </w:rPr>
        <w:t>2016</w:t>
      </w:r>
      <w:r w:rsidRPr="007336AF">
        <w:t>: Near zero sales — indicates launch or very early-stage operations.</w:t>
      </w:r>
    </w:p>
    <w:p w14:paraId="080320E0" w14:textId="00A3AE09" w:rsidR="007336AF" w:rsidRPr="007336AF" w:rsidRDefault="007336AF" w:rsidP="007336AF">
      <w:pPr>
        <w:numPr>
          <w:ilvl w:val="1"/>
          <w:numId w:val="30"/>
        </w:numPr>
      </w:pPr>
      <w:r w:rsidRPr="007336AF">
        <w:rPr>
          <w:b/>
          <w:bCs/>
        </w:rPr>
        <w:lastRenderedPageBreak/>
        <w:t>2017</w:t>
      </w:r>
      <w:r w:rsidRPr="007336AF">
        <w:t xml:space="preserve">: Sharp jump to </w:t>
      </w:r>
      <w:r w:rsidRPr="007336AF">
        <w:rPr>
          <w:b/>
          <w:bCs/>
        </w:rPr>
        <w:t>6.2M</w:t>
      </w:r>
      <w:r w:rsidRPr="007336AF">
        <w:t>, showing rapid expansion.</w:t>
      </w:r>
    </w:p>
    <w:p w14:paraId="7B10EE37" w14:textId="015C5AA9" w:rsidR="007336AF" w:rsidRPr="007336AF" w:rsidRDefault="007336AF" w:rsidP="007336AF">
      <w:pPr>
        <w:numPr>
          <w:ilvl w:val="1"/>
          <w:numId w:val="30"/>
        </w:numPr>
      </w:pPr>
      <w:r w:rsidRPr="007336AF">
        <w:rPr>
          <w:b/>
          <w:bCs/>
        </w:rPr>
        <w:t>2018</w:t>
      </w:r>
      <w:r w:rsidRPr="007336AF">
        <w:t xml:space="preserve">: Further increase to </w:t>
      </w:r>
      <w:r w:rsidRPr="007336AF">
        <w:rPr>
          <w:b/>
          <w:bCs/>
        </w:rPr>
        <w:t>7.4M</w:t>
      </w:r>
      <w:r w:rsidRPr="007336AF">
        <w:t>, signaling strong performance and market traction.</w:t>
      </w:r>
    </w:p>
    <w:p w14:paraId="538FA0B3" w14:textId="3B42FB98" w:rsidR="007336AF" w:rsidRPr="007336AF" w:rsidRDefault="007336AF" w:rsidP="007336AF">
      <w:pPr>
        <w:rPr>
          <w:b/>
          <w:bCs/>
        </w:rPr>
      </w:pPr>
      <w:r w:rsidRPr="007336AF">
        <w:rPr>
          <w:b/>
          <w:bCs/>
        </w:rPr>
        <w:t xml:space="preserve"> Key Takeaways:</w:t>
      </w:r>
    </w:p>
    <w:p w14:paraId="4814E272" w14:textId="77777777" w:rsidR="007336AF" w:rsidRPr="007336AF" w:rsidRDefault="007336AF" w:rsidP="007336AF">
      <w:pPr>
        <w:numPr>
          <w:ilvl w:val="0"/>
          <w:numId w:val="31"/>
        </w:numPr>
      </w:pPr>
      <w:r w:rsidRPr="007336AF">
        <w:t xml:space="preserve">The </w:t>
      </w:r>
      <w:r w:rsidRPr="007336AF">
        <w:rPr>
          <w:b/>
          <w:bCs/>
        </w:rPr>
        <w:t>growth rate</w:t>
      </w:r>
      <w:r w:rsidRPr="007336AF">
        <w:t xml:space="preserve"> from </w:t>
      </w:r>
      <w:r w:rsidRPr="007336AF">
        <w:rPr>
          <w:b/>
          <w:bCs/>
        </w:rPr>
        <w:t>2016 to 2017</w:t>
      </w:r>
      <w:r w:rsidRPr="007336AF">
        <w:t xml:space="preserve"> is the highest (a massive jump from zero).</w:t>
      </w:r>
    </w:p>
    <w:p w14:paraId="64400D13" w14:textId="77777777" w:rsidR="007336AF" w:rsidRPr="007336AF" w:rsidRDefault="007336AF" w:rsidP="007336AF">
      <w:pPr>
        <w:numPr>
          <w:ilvl w:val="0"/>
          <w:numId w:val="31"/>
        </w:numPr>
      </w:pPr>
      <w:r w:rsidRPr="007336AF">
        <w:rPr>
          <w:b/>
          <w:bCs/>
        </w:rPr>
        <w:t>2018 shows growth</w:t>
      </w:r>
      <w:r w:rsidRPr="007336AF">
        <w:t xml:space="preserve">, but at a </w:t>
      </w:r>
      <w:r w:rsidRPr="007336AF">
        <w:rPr>
          <w:b/>
          <w:bCs/>
        </w:rPr>
        <w:t>slower pace than 2017</w:t>
      </w:r>
      <w:r w:rsidRPr="007336AF">
        <w:t>, which may suggest:</w:t>
      </w:r>
    </w:p>
    <w:p w14:paraId="08426DB1" w14:textId="77777777" w:rsidR="007336AF" w:rsidRPr="007336AF" w:rsidRDefault="007336AF" w:rsidP="007336AF">
      <w:pPr>
        <w:numPr>
          <w:ilvl w:val="1"/>
          <w:numId w:val="31"/>
        </w:numPr>
      </w:pPr>
      <w:r w:rsidRPr="007336AF">
        <w:t>Market saturation starting</w:t>
      </w:r>
    </w:p>
    <w:p w14:paraId="7776E654" w14:textId="77777777" w:rsidR="007336AF" w:rsidRPr="007336AF" w:rsidRDefault="007336AF" w:rsidP="007336AF">
      <w:pPr>
        <w:numPr>
          <w:ilvl w:val="1"/>
          <w:numId w:val="31"/>
        </w:numPr>
      </w:pPr>
      <w:r w:rsidRPr="007336AF">
        <w:t>Operational bottlenecks</w:t>
      </w:r>
    </w:p>
    <w:p w14:paraId="276F2C36" w14:textId="77777777" w:rsidR="007336AF" w:rsidRPr="007336AF" w:rsidRDefault="007336AF" w:rsidP="007336AF">
      <w:pPr>
        <w:numPr>
          <w:ilvl w:val="1"/>
          <w:numId w:val="31"/>
        </w:numPr>
      </w:pPr>
      <w:r w:rsidRPr="007336AF">
        <w:t>External challenges (competition, policy, etc.)</w:t>
      </w:r>
    </w:p>
    <w:p w14:paraId="6EFFEBA8" w14:textId="3B4E0A9A" w:rsidR="007336AF" w:rsidRPr="007336AF" w:rsidRDefault="007336AF" w:rsidP="007336AF">
      <w:pPr>
        <w:rPr>
          <w:b/>
          <w:bCs/>
        </w:rPr>
      </w:pPr>
      <w:r w:rsidRPr="007336AF">
        <w:rPr>
          <w:b/>
          <w:bCs/>
        </w:rPr>
        <w:t>Strategic Insight:</w:t>
      </w:r>
    </w:p>
    <w:p w14:paraId="6B007647" w14:textId="77777777" w:rsidR="007336AF" w:rsidRPr="007336AF" w:rsidRDefault="007336AF" w:rsidP="007336AF">
      <w:pPr>
        <w:numPr>
          <w:ilvl w:val="0"/>
          <w:numId w:val="32"/>
        </w:numPr>
      </w:pPr>
      <w:r w:rsidRPr="007336AF">
        <w:t xml:space="preserve">Continued upward trajectory shows a </w:t>
      </w:r>
      <w:r w:rsidRPr="007336AF">
        <w:rPr>
          <w:b/>
          <w:bCs/>
        </w:rPr>
        <w:t>scalable business model</w:t>
      </w:r>
      <w:r w:rsidRPr="007336AF">
        <w:t>.</w:t>
      </w:r>
    </w:p>
    <w:p w14:paraId="0BC67184" w14:textId="77777777" w:rsidR="007336AF" w:rsidRPr="007336AF" w:rsidRDefault="007336AF" w:rsidP="007336AF">
      <w:pPr>
        <w:numPr>
          <w:ilvl w:val="0"/>
          <w:numId w:val="32"/>
        </w:numPr>
      </w:pPr>
      <w:r w:rsidRPr="007336AF">
        <w:t xml:space="preserve">Important to </w:t>
      </w:r>
      <w:r w:rsidRPr="007336AF">
        <w:rPr>
          <w:b/>
          <w:bCs/>
        </w:rPr>
        <w:t>analyze what worked in 2017</w:t>
      </w:r>
      <w:r w:rsidRPr="007336AF">
        <w:t>, as it was the breakout year.</w:t>
      </w:r>
    </w:p>
    <w:p w14:paraId="56FD81D6" w14:textId="77777777" w:rsidR="007336AF" w:rsidRPr="007336AF" w:rsidRDefault="007336AF" w:rsidP="007336AF">
      <w:pPr>
        <w:numPr>
          <w:ilvl w:val="0"/>
          <w:numId w:val="32"/>
        </w:numPr>
      </w:pPr>
      <w:r w:rsidRPr="007336AF">
        <w:t xml:space="preserve">From 2018 onward, focus may need to shift to </w:t>
      </w:r>
      <w:r w:rsidRPr="007336AF">
        <w:rPr>
          <w:b/>
          <w:bCs/>
        </w:rPr>
        <w:t>customer retention</w:t>
      </w:r>
      <w:r w:rsidRPr="007336AF">
        <w:t xml:space="preserve"> and </w:t>
      </w:r>
      <w:r w:rsidRPr="007336AF">
        <w:rPr>
          <w:b/>
          <w:bCs/>
        </w:rPr>
        <w:t>new verticals</w:t>
      </w:r>
      <w:r w:rsidRPr="007336AF">
        <w:t xml:space="preserve"> to maintain momentum.</w:t>
      </w:r>
    </w:p>
    <w:p w14:paraId="30399808" w14:textId="77777777" w:rsidR="007336AF" w:rsidRDefault="007336AF"/>
    <w:sectPr w:rsidR="007336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1D76EA"/>
    <w:multiLevelType w:val="multilevel"/>
    <w:tmpl w:val="540A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6D5D66"/>
    <w:multiLevelType w:val="hybridMultilevel"/>
    <w:tmpl w:val="D3A62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D430F1"/>
    <w:multiLevelType w:val="multilevel"/>
    <w:tmpl w:val="540A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545A8F"/>
    <w:multiLevelType w:val="multilevel"/>
    <w:tmpl w:val="540A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865F5C"/>
    <w:multiLevelType w:val="multilevel"/>
    <w:tmpl w:val="540A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D34AB8"/>
    <w:multiLevelType w:val="multilevel"/>
    <w:tmpl w:val="540A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C939A7"/>
    <w:multiLevelType w:val="multilevel"/>
    <w:tmpl w:val="540A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7463FE"/>
    <w:multiLevelType w:val="multilevel"/>
    <w:tmpl w:val="540A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B34A40"/>
    <w:multiLevelType w:val="hybridMultilevel"/>
    <w:tmpl w:val="6652B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93761"/>
    <w:multiLevelType w:val="hybridMultilevel"/>
    <w:tmpl w:val="A8B2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412AA"/>
    <w:multiLevelType w:val="multilevel"/>
    <w:tmpl w:val="540A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CF3D70"/>
    <w:multiLevelType w:val="multilevel"/>
    <w:tmpl w:val="540A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02213D"/>
    <w:multiLevelType w:val="multilevel"/>
    <w:tmpl w:val="540A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2E5B6B"/>
    <w:multiLevelType w:val="multilevel"/>
    <w:tmpl w:val="540A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A70539"/>
    <w:multiLevelType w:val="multilevel"/>
    <w:tmpl w:val="540A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983BDB"/>
    <w:multiLevelType w:val="hybridMultilevel"/>
    <w:tmpl w:val="04F0B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4F2C"/>
    <w:multiLevelType w:val="multilevel"/>
    <w:tmpl w:val="540A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A52E57"/>
    <w:multiLevelType w:val="hybridMultilevel"/>
    <w:tmpl w:val="70DC2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8745B5"/>
    <w:multiLevelType w:val="multilevel"/>
    <w:tmpl w:val="540A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9D4F31"/>
    <w:multiLevelType w:val="multilevel"/>
    <w:tmpl w:val="BD62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2E0076"/>
    <w:multiLevelType w:val="hybridMultilevel"/>
    <w:tmpl w:val="D5B0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88344A"/>
    <w:multiLevelType w:val="multilevel"/>
    <w:tmpl w:val="540A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E52623"/>
    <w:multiLevelType w:val="multilevel"/>
    <w:tmpl w:val="6D8E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217426">
    <w:abstractNumId w:val="8"/>
  </w:num>
  <w:num w:numId="2" w16cid:durableId="79719172">
    <w:abstractNumId w:val="6"/>
  </w:num>
  <w:num w:numId="3" w16cid:durableId="843282748">
    <w:abstractNumId w:val="5"/>
  </w:num>
  <w:num w:numId="4" w16cid:durableId="313725075">
    <w:abstractNumId w:val="4"/>
  </w:num>
  <w:num w:numId="5" w16cid:durableId="452478129">
    <w:abstractNumId w:val="7"/>
  </w:num>
  <w:num w:numId="6" w16cid:durableId="333581033">
    <w:abstractNumId w:val="3"/>
  </w:num>
  <w:num w:numId="7" w16cid:durableId="1741172086">
    <w:abstractNumId w:val="2"/>
  </w:num>
  <w:num w:numId="8" w16cid:durableId="1260527447">
    <w:abstractNumId w:val="1"/>
  </w:num>
  <w:num w:numId="9" w16cid:durableId="1171720870">
    <w:abstractNumId w:val="0"/>
  </w:num>
  <w:num w:numId="10" w16cid:durableId="895359604">
    <w:abstractNumId w:val="10"/>
  </w:num>
  <w:num w:numId="11" w16cid:durableId="1298300360">
    <w:abstractNumId w:val="18"/>
  </w:num>
  <w:num w:numId="12" w16cid:durableId="1910191279">
    <w:abstractNumId w:val="24"/>
  </w:num>
  <w:num w:numId="13" w16cid:durableId="15541192">
    <w:abstractNumId w:val="29"/>
  </w:num>
  <w:num w:numId="14" w16cid:durableId="1947887169">
    <w:abstractNumId w:val="17"/>
  </w:num>
  <w:num w:numId="15" w16cid:durableId="140003064">
    <w:abstractNumId w:val="31"/>
  </w:num>
  <w:num w:numId="16" w16cid:durableId="1898473396">
    <w:abstractNumId w:val="28"/>
  </w:num>
  <w:num w:numId="17" w16cid:durableId="1420298247">
    <w:abstractNumId w:val="19"/>
  </w:num>
  <w:num w:numId="18" w16cid:durableId="569972115">
    <w:abstractNumId w:val="26"/>
  </w:num>
  <w:num w:numId="19" w16cid:durableId="757559219">
    <w:abstractNumId w:val="30"/>
  </w:num>
  <w:num w:numId="20" w16cid:durableId="111364338">
    <w:abstractNumId w:val="27"/>
  </w:num>
  <w:num w:numId="21" w16cid:durableId="381908536">
    <w:abstractNumId w:val="9"/>
  </w:num>
  <w:num w:numId="22" w16cid:durableId="347367718">
    <w:abstractNumId w:val="25"/>
  </w:num>
  <w:num w:numId="23" w16cid:durableId="556479058">
    <w:abstractNumId w:val="13"/>
  </w:num>
  <w:num w:numId="24" w16cid:durableId="1482580381">
    <w:abstractNumId w:val="22"/>
  </w:num>
  <w:num w:numId="25" w16cid:durableId="1500387500">
    <w:abstractNumId w:val="16"/>
  </w:num>
  <w:num w:numId="26" w16cid:durableId="987972592">
    <w:abstractNumId w:val="20"/>
  </w:num>
  <w:num w:numId="27" w16cid:durableId="2055887974">
    <w:abstractNumId w:val="15"/>
  </w:num>
  <w:num w:numId="28" w16cid:durableId="1534073255">
    <w:abstractNumId w:val="11"/>
  </w:num>
  <w:num w:numId="29" w16cid:durableId="2030569610">
    <w:abstractNumId w:val="23"/>
  </w:num>
  <w:num w:numId="30" w16cid:durableId="1484542605">
    <w:abstractNumId w:val="12"/>
  </w:num>
  <w:num w:numId="31" w16cid:durableId="1443652158">
    <w:abstractNumId w:val="21"/>
  </w:num>
  <w:num w:numId="32" w16cid:durableId="7077553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02"/>
    <w:rsid w:val="0006063C"/>
    <w:rsid w:val="00126F4F"/>
    <w:rsid w:val="001350C7"/>
    <w:rsid w:val="0015074B"/>
    <w:rsid w:val="00197CDA"/>
    <w:rsid w:val="001E03DD"/>
    <w:rsid w:val="0029639D"/>
    <w:rsid w:val="00326F90"/>
    <w:rsid w:val="00400C79"/>
    <w:rsid w:val="00534F9A"/>
    <w:rsid w:val="007336AF"/>
    <w:rsid w:val="00930F97"/>
    <w:rsid w:val="00A21355"/>
    <w:rsid w:val="00A35141"/>
    <w:rsid w:val="00AA1D8D"/>
    <w:rsid w:val="00AE47E7"/>
    <w:rsid w:val="00B47730"/>
    <w:rsid w:val="00BF47E7"/>
    <w:rsid w:val="00CB0664"/>
    <w:rsid w:val="00CD3176"/>
    <w:rsid w:val="00D86A3B"/>
    <w:rsid w:val="00F608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2D919A"/>
  <w14:defaultImageDpi w14:val="300"/>
  <w15:docId w15:val="{6A8521AA-3B0D-4D17-8521-A81B3CF5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34817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9D3511" w:themeColor="accent1" w:themeShade="BF"/>
    </w:rPr>
    <w:tblPr>
      <w:tblStyleRowBandSize w:val="1"/>
      <w:tblStyleColBandSize w:val="1"/>
      <w:tblBorders>
        <w:top w:val="single" w:sz="8" w:space="0" w:color="D34817" w:themeColor="accent1"/>
        <w:bottom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 w:themeColor="accent1"/>
          <w:left w:val="nil"/>
          <w:bottom w:val="single" w:sz="8" w:space="0" w:color="D3481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732117" w:themeColor="accent2" w:themeShade="BF"/>
    </w:rPr>
    <w:tblPr>
      <w:tblStyleRowBandSize w:val="1"/>
      <w:tblStyleColBandSize w:val="1"/>
      <w:tblBorders>
        <w:top w:val="single" w:sz="8" w:space="0" w:color="9B2D1F" w:themeColor="accent2"/>
        <w:bottom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2D1F" w:themeColor="accent2"/>
          <w:left w:val="nil"/>
          <w:bottom w:val="single" w:sz="8" w:space="0" w:color="9B2D1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B6A4D" w:themeColor="accent3" w:themeShade="BF"/>
    </w:rPr>
    <w:tblPr>
      <w:tblStyleRowBandSize w:val="1"/>
      <w:tblStyleColBandSize w:val="1"/>
      <w:tblBorders>
        <w:top w:val="single" w:sz="8" w:space="0" w:color="A28E6A" w:themeColor="accent3"/>
        <w:bottom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8E6A" w:themeColor="accent3"/>
          <w:left w:val="nil"/>
          <w:bottom w:val="single" w:sz="8" w:space="0" w:color="A28E6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8E6A" w:themeColor="accent3"/>
          <w:left w:val="nil"/>
          <w:bottom w:val="single" w:sz="8" w:space="0" w:color="A28E6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6F493C" w:themeColor="accent4" w:themeShade="BF"/>
    </w:rPr>
    <w:tblPr>
      <w:tblStyleRowBandSize w:val="1"/>
      <w:tblStyleColBandSize w:val="1"/>
      <w:tblBorders>
        <w:top w:val="single" w:sz="8" w:space="0" w:color="956251" w:themeColor="accent4"/>
        <w:bottom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6251" w:themeColor="accent4"/>
          <w:left w:val="nil"/>
          <w:bottom w:val="single" w:sz="8" w:space="0" w:color="95625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6D6262" w:themeColor="accent5" w:themeShade="BF"/>
    </w:rPr>
    <w:tblPr>
      <w:tblStyleRowBandSize w:val="1"/>
      <w:tblStyleColBandSize w:val="1"/>
      <w:tblBorders>
        <w:top w:val="single" w:sz="8" w:space="0" w:color="918485" w:themeColor="accent5"/>
        <w:bottom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85" w:themeColor="accent5"/>
          <w:left w:val="nil"/>
          <w:bottom w:val="single" w:sz="8" w:space="0" w:color="91848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634545" w:themeColor="accent6" w:themeShade="BF"/>
    </w:rPr>
    <w:tblPr>
      <w:tblStyleRowBandSize w:val="1"/>
      <w:tblStyleColBandSize w:val="1"/>
      <w:tblBorders>
        <w:top w:val="single" w:sz="8" w:space="0" w:color="855D5D" w:themeColor="accent6"/>
        <w:bottom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5D5D" w:themeColor="accent6"/>
          <w:left w:val="nil"/>
          <w:bottom w:val="single" w:sz="8" w:space="0" w:color="855D5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band1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band1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band1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  <w:insideH w:val="single" w:sz="8" w:space="0" w:color="D34817" w:themeColor="accent1"/>
        <w:insideV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1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H w:val="nil"/>
          <w:insideV w:val="single" w:sz="8" w:space="0" w:color="D3481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  <w:shd w:val="clear" w:color="auto" w:fill="F8CFC1" w:themeFill="accent1" w:themeFillTint="3F"/>
      </w:tcPr>
    </w:tblStylePr>
    <w:tblStylePr w:type="band2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  <w:insideV w:val="single" w:sz="8" w:space="0" w:color="D34817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  <w:insideH w:val="single" w:sz="8" w:space="0" w:color="9B2D1F" w:themeColor="accent2"/>
        <w:insideV w:val="single" w:sz="8" w:space="0" w:color="9B2D1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18" w:space="0" w:color="9B2D1F" w:themeColor="accent2"/>
          <w:right w:val="single" w:sz="8" w:space="0" w:color="9B2D1F" w:themeColor="accent2"/>
          <w:insideH w:val="nil"/>
          <w:insideV w:val="single" w:sz="8" w:space="0" w:color="9B2D1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H w:val="nil"/>
          <w:insideV w:val="single" w:sz="8" w:space="0" w:color="9B2D1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band1Vert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  <w:shd w:val="clear" w:color="auto" w:fill="F1C1BC" w:themeFill="accent2" w:themeFillTint="3F"/>
      </w:tcPr>
    </w:tblStylePr>
    <w:tblStylePr w:type="band1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V w:val="single" w:sz="8" w:space="0" w:color="9B2D1F" w:themeColor="accent2"/>
        </w:tcBorders>
        <w:shd w:val="clear" w:color="auto" w:fill="F1C1BC" w:themeFill="accent2" w:themeFillTint="3F"/>
      </w:tcPr>
    </w:tblStylePr>
    <w:tblStylePr w:type="band2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  <w:insideV w:val="single" w:sz="8" w:space="0" w:color="9B2D1F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  <w:insideH w:val="single" w:sz="8" w:space="0" w:color="A28E6A" w:themeColor="accent3"/>
        <w:insideV w:val="single" w:sz="8" w:space="0" w:color="A28E6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18" w:space="0" w:color="A28E6A" w:themeColor="accent3"/>
          <w:right w:val="single" w:sz="8" w:space="0" w:color="A28E6A" w:themeColor="accent3"/>
          <w:insideH w:val="nil"/>
          <w:insideV w:val="single" w:sz="8" w:space="0" w:color="A28E6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H w:val="nil"/>
          <w:insideV w:val="single" w:sz="8" w:space="0" w:color="A28E6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  <w:shd w:val="clear" w:color="auto" w:fill="E8E2DA" w:themeFill="accent3" w:themeFillTint="3F"/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V w:val="single" w:sz="8" w:space="0" w:color="A28E6A" w:themeColor="accent3"/>
        </w:tcBorders>
        <w:shd w:val="clear" w:color="auto" w:fill="E8E2DA" w:themeFill="accent3" w:themeFillTint="3F"/>
      </w:tcPr>
    </w:tblStylePr>
    <w:tblStylePr w:type="band2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  <w:insideV w:val="single" w:sz="8" w:space="0" w:color="A28E6A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  <w:insideH w:val="single" w:sz="8" w:space="0" w:color="956251" w:themeColor="accent4"/>
        <w:insideV w:val="single" w:sz="8" w:space="0" w:color="95625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18" w:space="0" w:color="956251" w:themeColor="accent4"/>
          <w:right w:val="single" w:sz="8" w:space="0" w:color="956251" w:themeColor="accent4"/>
          <w:insideH w:val="nil"/>
          <w:insideV w:val="single" w:sz="8" w:space="0" w:color="95625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H w:val="nil"/>
          <w:insideV w:val="single" w:sz="8" w:space="0" w:color="95625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</w:tcPr>
    </w:tblStylePr>
    <w:tblStylePr w:type="band1Vert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</w:tcBorders>
        <w:shd w:val="clear" w:color="auto" w:fill="E6D7D2" w:themeFill="accent4" w:themeFillTint="3F"/>
      </w:tcPr>
    </w:tblStylePr>
    <w:tblStylePr w:type="band1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V w:val="single" w:sz="8" w:space="0" w:color="956251" w:themeColor="accent4"/>
        </w:tcBorders>
        <w:shd w:val="clear" w:color="auto" w:fill="E6D7D2" w:themeFill="accent4" w:themeFillTint="3F"/>
      </w:tcPr>
    </w:tblStylePr>
    <w:tblStylePr w:type="band2Horz">
      <w:tblPr/>
      <w:tcPr>
        <w:tcBorders>
          <w:top w:val="single" w:sz="8" w:space="0" w:color="956251" w:themeColor="accent4"/>
          <w:left w:val="single" w:sz="8" w:space="0" w:color="956251" w:themeColor="accent4"/>
          <w:bottom w:val="single" w:sz="8" w:space="0" w:color="956251" w:themeColor="accent4"/>
          <w:right w:val="single" w:sz="8" w:space="0" w:color="956251" w:themeColor="accent4"/>
          <w:insideV w:val="single" w:sz="8" w:space="0" w:color="956251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  <w:insideH w:val="single" w:sz="8" w:space="0" w:color="918485" w:themeColor="accent5"/>
        <w:insideV w:val="single" w:sz="8" w:space="0" w:color="91848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1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  <w:shd w:val="clear" w:color="auto" w:fill="E3E0E0" w:themeFill="accent5" w:themeFillTint="3F"/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  <w:shd w:val="clear" w:color="auto" w:fill="E3E0E0" w:themeFill="accent5" w:themeFillTint="3F"/>
      </w:tcPr>
    </w:tblStylePr>
    <w:tblStylePr w:type="band2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  <w:insideH w:val="single" w:sz="8" w:space="0" w:color="855D5D" w:themeColor="accent6"/>
        <w:insideV w:val="single" w:sz="8" w:space="0" w:color="855D5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18" w:space="0" w:color="855D5D" w:themeColor="accent6"/>
          <w:right w:val="single" w:sz="8" w:space="0" w:color="855D5D" w:themeColor="accent6"/>
          <w:insideH w:val="nil"/>
          <w:insideV w:val="single" w:sz="8" w:space="0" w:color="855D5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H w:val="nil"/>
          <w:insideV w:val="single" w:sz="8" w:space="0" w:color="855D5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</w:tcPr>
    </w:tblStylePr>
    <w:tblStylePr w:type="band1Vert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</w:tcBorders>
        <w:shd w:val="clear" w:color="auto" w:fill="E2D5D5" w:themeFill="accent6" w:themeFillTint="3F"/>
      </w:tcPr>
    </w:tblStylePr>
    <w:tblStylePr w:type="band1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V w:val="single" w:sz="8" w:space="0" w:color="855D5D" w:themeColor="accent6"/>
        </w:tcBorders>
        <w:shd w:val="clear" w:color="auto" w:fill="E2D5D5" w:themeFill="accent6" w:themeFillTint="3F"/>
      </w:tcPr>
    </w:tblStylePr>
    <w:tblStylePr w:type="band2Horz">
      <w:tblPr/>
      <w:tcPr>
        <w:tcBorders>
          <w:top w:val="single" w:sz="8" w:space="0" w:color="855D5D" w:themeColor="accent6"/>
          <w:left w:val="single" w:sz="8" w:space="0" w:color="855D5D" w:themeColor="accent6"/>
          <w:bottom w:val="single" w:sz="8" w:space="0" w:color="855D5D" w:themeColor="accent6"/>
          <w:right w:val="single" w:sz="8" w:space="0" w:color="855D5D" w:themeColor="accent6"/>
          <w:insideV w:val="single" w:sz="8" w:space="0" w:color="855D5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64634" w:themeColor="accent2" w:themeTint="BF"/>
        <w:left w:val="single" w:sz="8" w:space="0" w:color="D64634" w:themeColor="accent2" w:themeTint="BF"/>
        <w:bottom w:val="single" w:sz="8" w:space="0" w:color="D64634" w:themeColor="accent2" w:themeTint="BF"/>
        <w:right w:val="single" w:sz="8" w:space="0" w:color="D64634" w:themeColor="accent2" w:themeTint="BF"/>
        <w:insideH w:val="single" w:sz="8" w:space="0" w:color="D6463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4634" w:themeColor="accent2" w:themeTint="BF"/>
          <w:left w:val="single" w:sz="8" w:space="0" w:color="D64634" w:themeColor="accent2" w:themeTint="BF"/>
          <w:bottom w:val="single" w:sz="8" w:space="0" w:color="D64634" w:themeColor="accent2" w:themeTint="BF"/>
          <w:right w:val="single" w:sz="8" w:space="0" w:color="D64634" w:themeColor="accent2" w:themeTint="BF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4634" w:themeColor="accent2" w:themeTint="BF"/>
          <w:left w:val="single" w:sz="8" w:space="0" w:color="D64634" w:themeColor="accent2" w:themeTint="BF"/>
          <w:bottom w:val="single" w:sz="8" w:space="0" w:color="D64634" w:themeColor="accent2" w:themeTint="BF"/>
          <w:right w:val="single" w:sz="8" w:space="0" w:color="D6463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1B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1B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9AA8F" w:themeColor="accent3" w:themeTint="BF"/>
        <w:left w:val="single" w:sz="8" w:space="0" w:color="B9AA8F" w:themeColor="accent3" w:themeTint="BF"/>
        <w:bottom w:val="single" w:sz="8" w:space="0" w:color="B9AA8F" w:themeColor="accent3" w:themeTint="BF"/>
        <w:right w:val="single" w:sz="8" w:space="0" w:color="B9AA8F" w:themeColor="accent3" w:themeTint="BF"/>
        <w:insideH w:val="single" w:sz="8" w:space="0" w:color="B9AA8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AA8F" w:themeColor="accent3" w:themeTint="BF"/>
          <w:left w:val="single" w:sz="8" w:space="0" w:color="B9AA8F" w:themeColor="accent3" w:themeTint="BF"/>
          <w:bottom w:val="single" w:sz="8" w:space="0" w:color="B9AA8F" w:themeColor="accent3" w:themeTint="BF"/>
          <w:right w:val="single" w:sz="8" w:space="0" w:color="B9AA8F" w:themeColor="accent3" w:themeTint="BF"/>
          <w:insideH w:val="nil"/>
          <w:insideV w:val="nil"/>
        </w:tcBorders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AA8F" w:themeColor="accent3" w:themeTint="BF"/>
          <w:left w:val="single" w:sz="8" w:space="0" w:color="B9AA8F" w:themeColor="accent3" w:themeTint="BF"/>
          <w:bottom w:val="single" w:sz="8" w:space="0" w:color="B9AA8F" w:themeColor="accent3" w:themeTint="BF"/>
          <w:right w:val="single" w:sz="8" w:space="0" w:color="B9AA8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2D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2D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8676" w:themeColor="accent4" w:themeTint="BF"/>
        <w:left w:val="single" w:sz="8" w:space="0" w:color="B58676" w:themeColor="accent4" w:themeTint="BF"/>
        <w:bottom w:val="single" w:sz="8" w:space="0" w:color="B58676" w:themeColor="accent4" w:themeTint="BF"/>
        <w:right w:val="single" w:sz="8" w:space="0" w:color="B58676" w:themeColor="accent4" w:themeTint="BF"/>
        <w:insideH w:val="single" w:sz="8" w:space="0" w:color="B5867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8676" w:themeColor="accent4" w:themeTint="BF"/>
          <w:left w:val="single" w:sz="8" w:space="0" w:color="B58676" w:themeColor="accent4" w:themeTint="BF"/>
          <w:bottom w:val="single" w:sz="8" w:space="0" w:color="B58676" w:themeColor="accent4" w:themeTint="BF"/>
          <w:right w:val="single" w:sz="8" w:space="0" w:color="B58676" w:themeColor="accent4" w:themeTint="BF"/>
          <w:insideH w:val="nil"/>
          <w:insideV w:val="nil"/>
        </w:tcBorders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8676" w:themeColor="accent4" w:themeTint="BF"/>
          <w:left w:val="single" w:sz="8" w:space="0" w:color="B58676" w:themeColor="accent4" w:themeTint="BF"/>
          <w:bottom w:val="single" w:sz="8" w:space="0" w:color="B58676" w:themeColor="accent4" w:themeTint="BF"/>
          <w:right w:val="single" w:sz="8" w:space="0" w:color="B5867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7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7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CA2A3" w:themeColor="accent5" w:themeTint="BF"/>
        <w:left w:val="single" w:sz="8" w:space="0" w:color="ACA2A3" w:themeColor="accent5" w:themeTint="BF"/>
        <w:bottom w:val="single" w:sz="8" w:space="0" w:color="ACA2A3" w:themeColor="accent5" w:themeTint="BF"/>
        <w:right w:val="single" w:sz="8" w:space="0" w:color="ACA2A3" w:themeColor="accent5" w:themeTint="BF"/>
        <w:insideH w:val="single" w:sz="8" w:space="0" w:color="ACA2A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A2A3" w:themeColor="accent5" w:themeTint="BF"/>
          <w:left w:val="single" w:sz="8" w:space="0" w:color="ACA2A3" w:themeColor="accent5" w:themeTint="BF"/>
          <w:bottom w:val="single" w:sz="8" w:space="0" w:color="ACA2A3" w:themeColor="accent5" w:themeTint="BF"/>
          <w:right w:val="single" w:sz="8" w:space="0" w:color="ACA2A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0E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0E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78181" w:themeColor="accent6" w:themeTint="BF"/>
        <w:left w:val="single" w:sz="8" w:space="0" w:color="A78181" w:themeColor="accent6" w:themeTint="BF"/>
        <w:bottom w:val="single" w:sz="8" w:space="0" w:color="A78181" w:themeColor="accent6" w:themeTint="BF"/>
        <w:right w:val="single" w:sz="8" w:space="0" w:color="A78181" w:themeColor="accent6" w:themeTint="BF"/>
        <w:insideH w:val="single" w:sz="8" w:space="0" w:color="A7818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8181" w:themeColor="accent6" w:themeTint="BF"/>
          <w:left w:val="single" w:sz="8" w:space="0" w:color="A78181" w:themeColor="accent6" w:themeTint="BF"/>
          <w:bottom w:val="single" w:sz="8" w:space="0" w:color="A78181" w:themeColor="accent6" w:themeTint="BF"/>
          <w:right w:val="single" w:sz="8" w:space="0" w:color="A78181" w:themeColor="accent6" w:themeTint="BF"/>
          <w:insideH w:val="nil"/>
          <w:insideV w:val="nil"/>
        </w:tcBorders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8181" w:themeColor="accent6" w:themeTint="BF"/>
          <w:left w:val="single" w:sz="8" w:space="0" w:color="A78181" w:themeColor="accent6" w:themeTint="BF"/>
          <w:bottom w:val="single" w:sz="8" w:space="0" w:color="A78181" w:themeColor="accent6" w:themeTint="BF"/>
          <w:right w:val="single" w:sz="8" w:space="0" w:color="A7818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5D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5D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2D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8E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28E6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848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1848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5D5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5D5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5D5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34817" w:themeColor="accent1"/>
        <w:bottom w:val="single" w:sz="8" w:space="0" w:color="D3481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34817" w:themeColor="accent1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D34817" w:themeColor="accent1"/>
          <w:bottom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34817" w:themeColor="accent1"/>
          <w:bottom w:val="single" w:sz="8" w:space="0" w:color="D34817" w:themeColor="accent1"/>
        </w:tcBorders>
      </w:tc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shd w:val="clear" w:color="auto" w:fill="F8CFC1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2D1F" w:themeColor="accent2"/>
        <w:bottom w:val="single" w:sz="8" w:space="0" w:color="9B2D1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2D1F" w:themeColor="accent2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B2D1F" w:themeColor="accent2"/>
          <w:bottom w:val="single" w:sz="8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2D1F" w:themeColor="accent2"/>
          <w:bottom w:val="single" w:sz="8" w:space="0" w:color="9B2D1F" w:themeColor="accent2"/>
        </w:tcBorders>
      </w:tcPr>
    </w:tblStylePr>
    <w:tblStylePr w:type="band1Vert">
      <w:tblPr/>
      <w:tcPr>
        <w:shd w:val="clear" w:color="auto" w:fill="F1C1BC" w:themeFill="accent2" w:themeFillTint="3F"/>
      </w:tcPr>
    </w:tblStylePr>
    <w:tblStylePr w:type="band1Horz">
      <w:tblPr/>
      <w:tcPr>
        <w:shd w:val="clear" w:color="auto" w:fill="F1C1B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28E6A" w:themeColor="accent3"/>
        <w:bottom w:val="single" w:sz="8" w:space="0" w:color="A28E6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28E6A" w:themeColor="accent3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A28E6A" w:themeColor="accent3"/>
          <w:bottom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28E6A" w:themeColor="accent3"/>
          <w:bottom w:val="single" w:sz="8" w:space="0" w:color="A28E6A" w:themeColor="accent3"/>
        </w:tcBorders>
      </w:tcPr>
    </w:tblStylePr>
    <w:tblStylePr w:type="band1Vert">
      <w:tblPr/>
      <w:tcPr>
        <w:shd w:val="clear" w:color="auto" w:fill="E8E2DA" w:themeFill="accent3" w:themeFillTint="3F"/>
      </w:tcPr>
    </w:tblStylePr>
    <w:tblStylePr w:type="band1Horz">
      <w:tblPr/>
      <w:tcPr>
        <w:shd w:val="clear" w:color="auto" w:fill="E8E2DA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56251" w:themeColor="accent4"/>
        <w:bottom w:val="single" w:sz="8" w:space="0" w:color="95625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56251" w:themeColor="accent4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56251" w:themeColor="accent4"/>
          <w:bottom w:val="single" w:sz="8" w:space="0" w:color="9562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56251" w:themeColor="accent4"/>
          <w:bottom w:val="single" w:sz="8" w:space="0" w:color="956251" w:themeColor="accent4"/>
        </w:tcBorders>
      </w:tcPr>
    </w:tblStylePr>
    <w:tblStylePr w:type="band1Vert">
      <w:tblPr/>
      <w:tcPr>
        <w:shd w:val="clear" w:color="auto" w:fill="E6D7D2" w:themeFill="accent4" w:themeFillTint="3F"/>
      </w:tcPr>
    </w:tblStylePr>
    <w:tblStylePr w:type="band1Horz">
      <w:tblPr/>
      <w:tcPr>
        <w:shd w:val="clear" w:color="auto" w:fill="E6D7D2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18485" w:themeColor="accent5"/>
        <w:bottom w:val="single" w:sz="8" w:space="0" w:color="91848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18485" w:themeColor="accent5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918485" w:themeColor="accent5"/>
          <w:bottom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18485" w:themeColor="accent5"/>
          <w:bottom w:val="single" w:sz="8" w:space="0" w:color="918485" w:themeColor="accent5"/>
        </w:tcBorders>
      </w:tcPr>
    </w:tblStylePr>
    <w:tblStylePr w:type="band1Vert">
      <w:tblPr/>
      <w:tcPr>
        <w:shd w:val="clear" w:color="auto" w:fill="E3E0E0" w:themeFill="accent5" w:themeFillTint="3F"/>
      </w:tcPr>
    </w:tblStylePr>
    <w:tblStylePr w:type="band1Horz">
      <w:tblPr/>
      <w:tcPr>
        <w:shd w:val="clear" w:color="auto" w:fill="E3E0E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55D5D" w:themeColor="accent6"/>
        <w:bottom w:val="single" w:sz="8" w:space="0" w:color="855D5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5D5D" w:themeColor="accent6"/>
        </w:tcBorders>
      </w:tcPr>
    </w:tblStylePr>
    <w:tblStylePr w:type="lastRow">
      <w:rPr>
        <w:b/>
        <w:bCs/>
        <w:color w:val="696464" w:themeColor="text2"/>
      </w:rPr>
      <w:tblPr/>
      <w:tcPr>
        <w:tcBorders>
          <w:top w:val="single" w:sz="8" w:space="0" w:color="855D5D" w:themeColor="accent6"/>
          <w:bottom w:val="single" w:sz="8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5D5D" w:themeColor="accent6"/>
          <w:bottom w:val="single" w:sz="8" w:space="0" w:color="855D5D" w:themeColor="accent6"/>
        </w:tcBorders>
      </w:tcPr>
    </w:tblStylePr>
    <w:tblStylePr w:type="band1Vert">
      <w:tblPr/>
      <w:tcPr>
        <w:shd w:val="clear" w:color="auto" w:fill="E2D5D5" w:themeFill="accent6" w:themeFillTint="3F"/>
      </w:tcPr>
    </w:tblStylePr>
    <w:tblStylePr w:type="band1Horz">
      <w:tblPr/>
      <w:tcPr>
        <w:shd w:val="clear" w:color="auto" w:fill="E2D5D5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3481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34817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3481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3481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FC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2D1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2D1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2D1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1B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8E6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28E6A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8E6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8E6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2D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562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56251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5625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5625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7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1848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1848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1848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1848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0E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5D5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55D5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5D5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5D5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5D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  <w:insideV w:val="single" w:sz="8" w:space="0" w:color="EA6F44" w:themeColor="accent1" w:themeTint="BF"/>
      </w:tblBorders>
    </w:tblPr>
    <w:tcPr>
      <w:shd w:val="clear" w:color="auto" w:fill="F8CFC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6F4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64634" w:themeColor="accent2" w:themeTint="BF"/>
        <w:left w:val="single" w:sz="8" w:space="0" w:color="D64634" w:themeColor="accent2" w:themeTint="BF"/>
        <w:bottom w:val="single" w:sz="8" w:space="0" w:color="D64634" w:themeColor="accent2" w:themeTint="BF"/>
        <w:right w:val="single" w:sz="8" w:space="0" w:color="D64634" w:themeColor="accent2" w:themeTint="BF"/>
        <w:insideH w:val="single" w:sz="8" w:space="0" w:color="D64634" w:themeColor="accent2" w:themeTint="BF"/>
        <w:insideV w:val="single" w:sz="8" w:space="0" w:color="D64634" w:themeColor="accent2" w:themeTint="BF"/>
      </w:tblBorders>
    </w:tblPr>
    <w:tcPr>
      <w:shd w:val="clear" w:color="auto" w:fill="F1C1B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463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shd w:val="clear" w:color="auto" w:fill="E4847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9AA8F" w:themeColor="accent3" w:themeTint="BF"/>
        <w:left w:val="single" w:sz="8" w:space="0" w:color="B9AA8F" w:themeColor="accent3" w:themeTint="BF"/>
        <w:bottom w:val="single" w:sz="8" w:space="0" w:color="B9AA8F" w:themeColor="accent3" w:themeTint="BF"/>
        <w:right w:val="single" w:sz="8" w:space="0" w:color="B9AA8F" w:themeColor="accent3" w:themeTint="BF"/>
        <w:insideH w:val="single" w:sz="8" w:space="0" w:color="B9AA8F" w:themeColor="accent3" w:themeTint="BF"/>
        <w:insideV w:val="single" w:sz="8" w:space="0" w:color="B9AA8F" w:themeColor="accent3" w:themeTint="BF"/>
      </w:tblBorders>
    </w:tblPr>
    <w:tcPr>
      <w:shd w:val="clear" w:color="auto" w:fill="E8E2D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AA8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58676" w:themeColor="accent4" w:themeTint="BF"/>
        <w:left w:val="single" w:sz="8" w:space="0" w:color="B58676" w:themeColor="accent4" w:themeTint="BF"/>
        <w:bottom w:val="single" w:sz="8" w:space="0" w:color="B58676" w:themeColor="accent4" w:themeTint="BF"/>
        <w:right w:val="single" w:sz="8" w:space="0" w:color="B58676" w:themeColor="accent4" w:themeTint="BF"/>
        <w:insideH w:val="single" w:sz="8" w:space="0" w:color="B58676" w:themeColor="accent4" w:themeTint="BF"/>
        <w:insideV w:val="single" w:sz="8" w:space="0" w:color="B58676" w:themeColor="accent4" w:themeTint="BF"/>
      </w:tblBorders>
    </w:tblPr>
    <w:tcPr>
      <w:shd w:val="clear" w:color="auto" w:fill="E6D7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867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shd w:val="clear" w:color="auto" w:fill="CDAEA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CA2A3" w:themeColor="accent5" w:themeTint="BF"/>
        <w:left w:val="single" w:sz="8" w:space="0" w:color="ACA2A3" w:themeColor="accent5" w:themeTint="BF"/>
        <w:bottom w:val="single" w:sz="8" w:space="0" w:color="ACA2A3" w:themeColor="accent5" w:themeTint="BF"/>
        <w:right w:val="single" w:sz="8" w:space="0" w:color="ACA2A3" w:themeColor="accent5" w:themeTint="BF"/>
        <w:insideH w:val="single" w:sz="8" w:space="0" w:color="ACA2A3" w:themeColor="accent5" w:themeTint="BF"/>
        <w:insideV w:val="single" w:sz="8" w:space="0" w:color="ACA2A3" w:themeColor="accent5" w:themeTint="BF"/>
      </w:tblBorders>
    </w:tblPr>
    <w:tcPr>
      <w:shd w:val="clear" w:color="auto" w:fill="E3E0E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A2A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shd w:val="clear" w:color="auto" w:fill="C8C1C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78181" w:themeColor="accent6" w:themeTint="BF"/>
        <w:left w:val="single" w:sz="8" w:space="0" w:color="A78181" w:themeColor="accent6" w:themeTint="BF"/>
        <w:bottom w:val="single" w:sz="8" w:space="0" w:color="A78181" w:themeColor="accent6" w:themeTint="BF"/>
        <w:right w:val="single" w:sz="8" w:space="0" w:color="A78181" w:themeColor="accent6" w:themeTint="BF"/>
        <w:insideH w:val="single" w:sz="8" w:space="0" w:color="A78181" w:themeColor="accent6" w:themeTint="BF"/>
        <w:insideV w:val="single" w:sz="8" w:space="0" w:color="A78181" w:themeColor="accent6" w:themeTint="BF"/>
      </w:tblBorders>
    </w:tblPr>
    <w:tcPr>
      <w:shd w:val="clear" w:color="auto" w:fill="E2D5D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818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shd w:val="clear" w:color="auto" w:fill="C4ABAB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  <w:insideH w:val="single" w:sz="8" w:space="0" w:color="D34817" w:themeColor="accent1"/>
        <w:insideV w:val="single" w:sz="8" w:space="0" w:color="D34817" w:themeColor="accent1"/>
      </w:tblBorders>
    </w:tblPr>
    <w:tcPr>
      <w:shd w:val="clear" w:color="auto" w:fill="F8CFC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C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8CD" w:themeFill="accent1" w:themeFillTint="33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tcBorders>
          <w:insideH w:val="single" w:sz="6" w:space="0" w:color="D34817" w:themeColor="accent1"/>
          <w:insideV w:val="single" w:sz="6" w:space="0" w:color="D34817" w:themeColor="accent1"/>
        </w:tcBorders>
        <w:shd w:val="clear" w:color="auto" w:fill="F19F8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  <w:insideH w:val="single" w:sz="8" w:space="0" w:color="9B2D1F" w:themeColor="accent2"/>
        <w:insideV w:val="single" w:sz="8" w:space="0" w:color="9B2D1F" w:themeColor="accent2"/>
      </w:tblBorders>
    </w:tblPr>
    <w:tcPr>
      <w:shd w:val="clear" w:color="auto" w:fill="F1C1B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6E4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DC8" w:themeFill="accent2" w:themeFillTint="33"/>
      </w:tc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tcBorders>
          <w:insideH w:val="single" w:sz="6" w:space="0" w:color="9B2D1F" w:themeColor="accent2"/>
          <w:insideV w:val="single" w:sz="6" w:space="0" w:color="9B2D1F" w:themeColor="accent2"/>
        </w:tcBorders>
        <w:shd w:val="clear" w:color="auto" w:fill="E4847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  <w:insideH w:val="single" w:sz="8" w:space="0" w:color="A28E6A" w:themeColor="accent3"/>
        <w:insideV w:val="single" w:sz="8" w:space="0" w:color="A28E6A" w:themeColor="accent3"/>
      </w:tblBorders>
    </w:tblPr>
    <w:tcPr>
      <w:shd w:val="clear" w:color="auto" w:fill="E8E2D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3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8E1" w:themeFill="accent3" w:themeFillTint="33"/>
      </w:tc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tcBorders>
          <w:insideH w:val="single" w:sz="6" w:space="0" w:color="A28E6A" w:themeColor="accent3"/>
          <w:insideV w:val="single" w:sz="6" w:space="0" w:color="A28E6A" w:themeColor="accent3"/>
        </w:tcBorders>
        <w:shd w:val="clear" w:color="auto" w:fill="D0C6B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56251" w:themeColor="accent4"/>
        <w:left w:val="single" w:sz="8" w:space="0" w:color="956251" w:themeColor="accent4"/>
        <w:bottom w:val="single" w:sz="8" w:space="0" w:color="956251" w:themeColor="accent4"/>
        <w:right w:val="single" w:sz="8" w:space="0" w:color="956251" w:themeColor="accent4"/>
        <w:insideH w:val="single" w:sz="8" w:space="0" w:color="956251" w:themeColor="accent4"/>
        <w:insideV w:val="single" w:sz="8" w:space="0" w:color="956251" w:themeColor="accent4"/>
      </w:tblBorders>
    </w:tblPr>
    <w:tcPr>
      <w:shd w:val="clear" w:color="auto" w:fill="E6D7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DA" w:themeFill="accent4" w:themeFillTint="33"/>
      </w:tc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tcBorders>
          <w:insideH w:val="single" w:sz="6" w:space="0" w:color="956251" w:themeColor="accent4"/>
          <w:insideV w:val="single" w:sz="6" w:space="0" w:color="956251" w:themeColor="accent4"/>
        </w:tcBorders>
        <w:shd w:val="clear" w:color="auto" w:fill="CDAEA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  <w:insideH w:val="single" w:sz="8" w:space="0" w:color="918485" w:themeColor="accent5"/>
        <w:insideV w:val="single" w:sz="8" w:space="0" w:color="918485" w:themeColor="accent5"/>
      </w:tblBorders>
    </w:tblPr>
    <w:tcPr>
      <w:shd w:val="clear" w:color="auto" w:fill="E3E0E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6E6" w:themeFill="accent5" w:themeFillTint="33"/>
      </w:tc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tcBorders>
          <w:insideH w:val="single" w:sz="6" w:space="0" w:color="918485" w:themeColor="accent5"/>
          <w:insideV w:val="single" w:sz="6" w:space="0" w:color="918485" w:themeColor="accent5"/>
        </w:tcBorders>
        <w:shd w:val="clear" w:color="auto" w:fill="C8C1C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5D5D" w:themeColor="accent6"/>
        <w:left w:val="single" w:sz="8" w:space="0" w:color="855D5D" w:themeColor="accent6"/>
        <w:bottom w:val="single" w:sz="8" w:space="0" w:color="855D5D" w:themeColor="accent6"/>
        <w:right w:val="single" w:sz="8" w:space="0" w:color="855D5D" w:themeColor="accent6"/>
        <w:insideH w:val="single" w:sz="8" w:space="0" w:color="855D5D" w:themeColor="accent6"/>
        <w:insideV w:val="single" w:sz="8" w:space="0" w:color="855D5D" w:themeColor="accent6"/>
      </w:tblBorders>
    </w:tblPr>
    <w:tcPr>
      <w:shd w:val="clear" w:color="auto" w:fill="E2D5D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EE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DDD" w:themeFill="accent6" w:themeFillTint="33"/>
      </w:tc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tcBorders>
          <w:insideH w:val="single" w:sz="6" w:space="0" w:color="855D5D" w:themeColor="accent6"/>
          <w:insideV w:val="single" w:sz="6" w:space="0" w:color="855D5D" w:themeColor="accent6"/>
        </w:tcBorders>
        <w:shd w:val="clear" w:color="auto" w:fill="C4ABA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F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F8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F82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1B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D1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2D1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2D1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2D1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847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847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2D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8E6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8E6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28E6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6B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6B4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7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5625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5625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5625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AEA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AEA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0E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48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848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1848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1848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C1C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C1C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5D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5D5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5D5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5D5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ABA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ABAB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3481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823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D3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351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2D1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16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211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28E6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463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6A4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A4D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5625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302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F493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493C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1848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414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626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262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55D5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E2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54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545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2D1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2D1F" w:themeColor="accent2"/>
        <w:left w:val="single" w:sz="4" w:space="0" w:color="D34817" w:themeColor="accent1"/>
        <w:bottom w:val="single" w:sz="4" w:space="0" w:color="D34817" w:themeColor="accent1"/>
        <w:right w:val="single" w:sz="4" w:space="0" w:color="D3481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E2A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2A0D" w:themeColor="accent1" w:themeShade="99"/>
          <w:insideV w:val="nil"/>
        </w:tcBorders>
        <w:shd w:val="clear" w:color="auto" w:fill="7E2A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2A0D" w:themeFill="accent1" w:themeFillShade="99"/>
      </w:tcPr>
    </w:tblStylePr>
    <w:tblStylePr w:type="band1Vert">
      <w:tblPr/>
      <w:tcPr>
        <w:shd w:val="clear" w:color="auto" w:fill="F4B29B" w:themeFill="accent1" w:themeFillTint="66"/>
      </w:tcPr>
    </w:tblStylePr>
    <w:tblStylePr w:type="band1Horz">
      <w:tblPr/>
      <w:tcPr>
        <w:shd w:val="clear" w:color="auto" w:fill="F19F8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2D1F" w:themeColor="accent2"/>
        <w:left w:val="single" w:sz="4" w:space="0" w:color="9B2D1F" w:themeColor="accent2"/>
        <w:bottom w:val="single" w:sz="4" w:space="0" w:color="9B2D1F" w:themeColor="accent2"/>
        <w:right w:val="single" w:sz="4" w:space="0" w:color="9B2D1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6E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2D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1A1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1A12" w:themeColor="accent2" w:themeShade="99"/>
          <w:insideV w:val="nil"/>
        </w:tcBorders>
        <w:shd w:val="clear" w:color="auto" w:fill="5C1A1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1A12" w:themeFill="accent2" w:themeFillShade="99"/>
      </w:tcPr>
    </w:tblStylePr>
    <w:tblStylePr w:type="band1Vert">
      <w:tblPr/>
      <w:tcPr>
        <w:shd w:val="clear" w:color="auto" w:fill="E99C92" w:themeFill="accent2" w:themeFillTint="66"/>
      </w:tcPr>
    </w:tblStylePr>
    <w:tblStylePr w:type="band1Horz">
      <w:tblPr/>
      <w:tcPr>
        <w:shd w:val="clear" w:color="auto" w:fill="E4847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56251" w:themeColor="accent4"/>
        <w:left w:val="single" w:sz="4" w:space="0" w:color="A28E6A" w:themeColor="accent3"/>
        <w:bottom w:val="single" w:sz="4" w:space="0" w:color="A28E6A" w:themeColor="accent3"/>
        <w:right w:val="single" w:sz="4" w:space="0" w:color="A28E6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3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562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553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553D" w:themeColor="accent3" w:themeShade="99"/>
          <w:insideV w:val="nil"/>
        </w:tcBorders>
        <w:shd w:val="clear" w:color="auto" w:fill="62553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553D" w:themeFill="accent3" w:themeFillShade="99"/>
      </w:tcPr>
    </w:tblStylePr>
    <w:tblStylePr w:type="band1Vert">
      <w:tblPr/>
      <w:tcPr>
        <w:shd w:val="clear" w:color="auto" w:fill="D9D1C3" w:themeFill="accent3" w:themeFillTint="66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28E6A" w:themeColor="accent3"/>
        <w:left w:val="single" w:sz="4" w:space="0" w:color="956251" w:themeColor="accent4"/>
        <w:bottom w:val="single" w:sz="4" w:space="0" w:color="956251" w:themeColor="accent4"/>
        <w:right w:val="single" w:sz="4" w:space="0" w:color="95625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F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28E6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3A3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3A30" w:themeColor="accent4" w:themeShade="99"/>
          <w:insideV w:val="nil"/>
        </w:tcBorders>
        <w:shd w:val="clear" w:color="auto" w:fill="593A3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A30" w:themeFill="accent4" w:themeFillShade="99"/>
      </w:tcPr>
    </w:tblStylePr>
    <w:tblStylePr w:type="band1Vert">
      <w:tblPr/>
      <w:tcPr>
        <w:shd w:val="clear" w:color="auto" w:fill="D7BEB6" w:themeFill="accent4" w:themeFillTint="66"/>
      </w:tcPr>
    </w:tblStylePr>
    <w:tblStylePr w:type="band1Horz">
      <w:tblPr/>
      <w:tcPr>
        <w:shd w:val="clear" w:color="auto" w:fill="CDAEA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55D5D" w:themeColor="accent6"/>
        <w:left w:val="single" w:sz="4" w:space="0" w:color="918485" w:themeColor="accent5"/>
        <w:bottom w:val="single" w:sz="4" w:space="0" w:color="918485" w:themeColor="accent5"/>
        <w:right w:val="single" w:sz="4" w:space="0" w:color="91848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5D5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4E4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4E4F" w:themeColor="accent5" w:themeShade="99"/>
          <w:insideV w:val="nil"/>
        </w:tcBorders>
        <w:shd w:val="clear" w:color="auto" w:fill="574E4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4E4F" w:themeFill="accent5" w:themeFillShade="99"/>
      </w:tcPr>
    </w:tblStylePr>
    <w:tblStylePr w:type="band1Vert">
      <w:tblPr/>
      <w:tcPr>
        <w:shd w:val="clear" w:color="auto" w:fill="D3CDCE" w:themeFill="accent5" w:themeFillTint="66"/>
      </w:tcPr>
    </w:tblStylePr>
    <w:tblStylePr w:type="band1Horz">
      <w:tblPr/>
      <w:tcPr>
        <w:shd w:val="clear" w:color="auto" w:fill="C8C1C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18485" w:themeColor="accent5"/>
        <w:left w:val="single" w:sz="4" w:space="0" w:color="855D5D" w:themeColor="accent6"/>
        <w:bottom w:val="single" w:sz="4" w:space="0" w:color="855D5D" w:themeColor="accent6"/>
        <w:right w:val="single" w:sz="4" w:space="0" w:color="855D5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E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1848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7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737" w:themeColor="accent6" w:themeShade="99"/>
          <w:insideV w:val="nil"/>
        </w:tcBorders>
        <w:shd w:val="clear" w:color="auto" w:fill="4F37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737" w:themeFill="accent6" w:themeFillShade="99"/>
      </w:tcPr>
    </w:tblStylePr>
    <w:tblStylePr w:type="band1Vert">
      <w:tblPr/>
      <w:tcPr>
        <w:shd w:val="clear" w:color="auto" w:fill="D0BCBC" w:themeFill="accent6" w:themeFillTint="66"/>
      </w:tcPr>
    </w:tblStylePr>
    <w:tblStylePr w:type="band1Horz">
      <w:tblPr/>
      <w:tcPr>
        <w:shd w:val="clear" w:color="auto" w:fill="C4ABA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C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FC1" w:themeFill="accent1" w:themeFillTint="3F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6E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2318" w:themeFill="accent2" w:themeFillShade="CC"/>
      </w:tcPr>
    </w:tblStylePr>
    <w:tblStylePr w:type="lastRow">
      <w:rPr>
        <w:b/>
        <w:bCs/>
        <w:color w:val="7B231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1BC" w:themeFill="accent2" w:themeFillTint="3F"/>
      </w:tcPr>
    </w:tblStylePr>
    <w:tblStylePr w:type="band1Horz">
      <w:tblPr/>
      <w:tcPr>
        <w:shd w:val="clear" w:color="auto" w:fill="F4CDC8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3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4E40" w:themeFill="accent4" w:themeFillShade="CC"/>
      </w:tcPr>
    </w:tblStylePr>
    <w:tblStylePr w:type="lastRow">
      <w:rPr>
        <w:b/>
        <w:bCs/>
        <w:color w:val="774E4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2DA" w:themeFill="accent3" w:themeFillTint="3F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F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7252" w:themeFill="accent3" w:themeFillShade="CC"/>
      </w:tcPr>
    </w:tblStylePr>
    <w:tblStylePr w:type="lastRow">
      <w:rPr>
        <w:b/>
        <w:bCs/>
        <w:color w:val="83725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7D2" w:themeFill="accent4" w:themeFillTint="3F"/>
      </w:tcPr>
    </w:tblStylePr>
    <w:tblStylePr w:type="band1Horz">
      <w:tblPr/>
      <w:tcPr>
        <w:shd w:val="clear" w:color="auto" w:fill="EBDEDA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2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4A4A" w:themeFill="accent6" w:themeFillShade="CC"/>
      </w:tcPr>
    </w:tblStylePr>
    <w:tblStylePr w:type="lastRow">
      <w:rPr>
        <w:b/>
        <w:bCs/>
        <w:color w:val="6A4A4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0E0" w:themeFill="accent5" w:themeFillTint="3F"/>
      </w:tcPr>
    </w:tblStylePr>
    <w:tblStylePr w:type="band1Horz">
      <w:tblPr/>
      <w:tcPr>
        <w:shd w:val="clear" w:color="auto" w:fill="E9E6E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EE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6869" w:themeFill="accent5" w:themeFillShade="CC"/>
      </w:tcPr>
    </w:tblStylePr>
    <w:tblStylePr w:type="lastRow">
      <w:rPr>
        <w:b/>
        <w:bCs/>
        <w:color w:val="74686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5D5" w:themeFill="accent6" w:themeFillTint="3F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CDC8" w:themeFill="accent2" w:themeFillTint="33"/>
    </w:tcPr>
    <w:tblStylePr w:type="firstRow">
      <w:rPr>
        <w:b/>
        <w:bCs/>
      </w:rPr>
      <w:tblPr/>
      <w:tcPr>
        <w:shd w:val="clear" w:color="auto" w:fill="E99C9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9C9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3211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32117" w:themeFill="accent2" w:themeFillShade="BF"/>
      </w:tcPr>
    </w:tblStylePr>
    <w:tblStylePr w:type="band1Vert">
      <w:tblPr/>
      <w:tcPr>
        <w:shd w:val="clear" w:color="auto" w:fill="E48478" w:themeFill="accent2" w:themeFillTint="7F"/>
      </w:tcPr>
    </w:tblStylePr>
    <w:tblStylePr w:type="band1Horz">
      <w:tblPr/>
      <w:tcPr>
        <w:shd w:val="clear" w:color="auto" w:fill="E4847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8E1" w:themeFill="accent3" w:themeFillTint="33"/>
    </w:tcPr>
    <w:tblStylePr w:type="firstRow">
      <w:rPr>
        <w:b/>
        <w:bCs/>
      </w:rPr>
      <w:tblPr/>
      <w:tcPr>
        <w:shd w:val="clear" w:color="auto" w:fill="D9D1C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D1C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6A4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6A4D" w:themeFill="accent3" w:themeFillShade="BF"/>
      </w:tcPr>
    </w:tblStylePr>
    <w:tblStylePr w:type="band1Vert">
      <w:tblPr/>
      <w:tcPr>
        <w:shd w:val="clear" w:color="auto" w:fill="D0C6B4" w:themeFill="accent3" w:themeFillTint="7F"/>
      </w:tcPr>
    </w:tblStylePr>
    <w:tblStylePr w:type="band1Horz">
      <w:tblPr/>
      <w:tcPr>
        <w:shd w:val="clear" w:color="auto" w:fill="D0C6B4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DEDA" w:themeFill="accent4" w:themeFillTint="33"/>
    </w:tcPr>
    <w:tblStylePr w:type="firstRow">
      <w:rPr>
        <w:b/>
        <w:bCs/>
      </w:rPr>
      <w:tblPr/>
      <w:tcPr>
        <w:shd w:val="clear" w:color="auto" w:fill="D7BEB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BEB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F493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F493C" w:themeFill="accent4" w:themeFillShade="BF"/>
      </w:tcPr>
    </w:tblStylePr>
    <w:tblStylePr w:type="band1Vert">
      <w:tblPr/>
      <w:tcPr>
        <w:shd w:val="clear" w:color="auto" w:fill="CDAEA4" w:themeFill="accent4" w:themeFillTint="7F"/>
      </w:tcPr>
    </w:tblStylePr>
    <w:tblStylePr w:type="band1Horz">
      <w:tblPr/>
      <w:tcPr>
        <w:shd w:val="clear" w:color="auto" w:fill="CDAEA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6E6" w:themeFill="accent5" w:themeFillTint="33"/>
    </w:tcPr>
    <w:tblStylePr w:type="firstRow">
      <w:rPr>
        <w:b/>
        <w:bCs/>
      </w:rPr>
      <w:tblPr/>
      <w:tcPr>
        <w:shd w:val="clear" w:color="auto" w:fill="D3CDC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DC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626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6262" w:themeFill="accent5" w:themeFillShade="BF"/>
      </w:tcPr>
    </w:tblStylePr>
    <w:tblStylePr w:type="band1Vert">
      <w:tblPr/>
      <w:tcPr>
        <w:shd w:val="clear" w:color="auto" w:fill="C8C1C1" w:themeFill="accent5" w:themeFillTint="7F"/>
      </w:tcPr>
    </w:tblStylePr>
    <w:tblStylePr w:type="band1Horz">
      <w:tblPr/>
      <w:tcPr>
        <w:shd w:val="clear" w:color="auto" w:fill="C8C1C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DDD" w:themeFill="accent6" w:themeFillTint="33"/>
    </w:tcPr>
    <w:tblStylePr w:type="firstRow">
      <w:rPr>
        <w:b/>
        <w:bCs/>
      </w:rPr>
      <w:tblPr/>
      <w:tcPr>
        <w:shd w:val="clear" w:color="auto" w:fill="D0BC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BC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3454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34545" w:themeFill="accent6" w:themeFillShade="BF"/>
      </w:tcPr>
    </w:tblStylePr>
    <w:tblStylePr w:type="band1Vert">
      <w:tblPr/>
      <w:tcPr>
        <w:shd w:val="clear" w:color="auto" w:fill="C4ABAB" w:themeFill="accent6" w:themeFillTint="7F"/>
      </w:tcPr>
    </w:tblStylePr>
    <w:tblStylePr w:type="band1Horz">
      <w:tblPr/>
      <w:tcPr>
        <w:shd w:val="clear" w:color="auto" w:fill="C4ABAB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E4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7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2902</TotalTime>
  <Pages>9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Aishwarya V</cp:lastModifiedBy>
  <cp:revision>8</cp:revision>
  <dcterms:created xsi:type="dcterms:W3CDTF">2013-12-23T23:15:00Z</dcterms:created>
  <dcterms:modified xsi:type="dcterms:W3CDTF">2025-07-19T06:53:00Z</dcterms:modified>
  <cp:category/>
</cp:coreProperties>
</file>