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COMPREHENSIVE MASTER SERVICES AGREEMENT</w:t>
      </w:r>
    </w:p>
    <w:p>
      <w:r>
        <w:t xml:space="preserve">This Comprehensive Master Services Agreement (the "Agreement") is entered into as of July 16, 2026 (the "Effective Date") by and between Sterling Dynamics Corporation, a Delaware corporation with its principal place of business at 900 Innovation Parkway, Suite 500, Wilmington, Delaware ("Provider"), and Cascade Retail Holdings LLC, a California limited liability company with its principal place of business at 2200 Harborview Drive, San Francisco, California ("Client"). Provider and Client may each be referred to as a "Party" and collectively as the "Parties."</w:t>
      </w:r>
    </w:p>
    <w:p/>
    <w:p>
      <w:r>
        <w:t xml:space="preserve">WHEREAS, Provider operates a cloud-based supply chain management and logistics optimization platform known as "Sterling Logistics Suite" (the "Platform"); and WHEREAS, Client wishes to engage Provider for implementation, hosting, and ongoing support services related to the Platform, and Provider is willing to provide such services on the terms set forth in this Agreement; NOW THEREFORE, in consideration of the mutual promises contained herein, the Parties agree as follows:</w:t>
      </w:r>
    </w:p>
    <w:p/>
    <w:p>
      <w:pPr>
        <w:pStyle w:val="Heading2"/>
      </w:pPr>
      <w:r>
        <w:t xml:space="preserve">1. Definitions</w:t>
      </w:r>
    </w:p>
    <w:p>
      <w:r>
        <w:t xml:space="preserve">"Confidential Information" means all non-public technical, financial, operational, or business information disclosed by either Party to the other, whether marked confidential or reasonably understood to be confidential given the nature of the disclosure.</w:t>
      </w:r>
    </w:p>
    <w:p>
      <w:r>
        <w:t xml:space="preserve">"Services" means the implementation, configuration, hosting, maintenance, and technical support services described in one or more Statements of Work executed under this Agreement.</w:t>
      </w:r>
    </w:p>
    <w:p>
      <w:r>
        <w:t xml:space="preserve">"Deliverables" means reports, dashboards, integrations, or custom configurations created by Provider specifically for Client under a Statement of Work.</w:t>
      </w:r>
    </w:p>
    <w:p>
      <w:r>
        <w:t xml:space="preserve">"Documentation" means user guides, technical manuals, and other materials provided by Provider describing the use and operation of the Platform.</w:t>
      </w:r>
    </w:p>
    <w:p/>
    <w:p>
      <w:pPr>
        <w:pStyle w:val="Heading2"/>
      </w:pPr>
      <w:r>
        <w:t xml:space="preserve">2. Scope of Services</w:t>
      </w:r>
    </w:p>
    <w:p>
      <w:r>
        <w:t xml:space="preserve">Provider shall perform the Services described in each Statement of Work in a professional and workmanlike manner, consistent with generally accepted industry standards for supply chain software implementation. Provider shall assign qualified personnel to perform the Services and shall use commercially reasonable efforts to meet any timelines specified in a Statement of Work. Client shall cooperate with Provider by providing timely access to relevant systems, data, and personnel reasonably required for Provider to perform the Services, and shall designate a primary point of contact for day-to-day coordination.</w:t>
      </w:r>
    </w:p>
    <w:p/>
    <w:p>
      <w:pPr>
        <w:pStyle w:val="Heading2"/>
      </w:pPr>
      <w:r>
        <w:t xml:space="preserve">3. Fees and Payment Terms</w:t>
      </w:r>
    </w:p>
    <w:p>
      <w:r>
        <w:t xml:space="preserve">Client shall pay Provider the fees specified in the applicable Statement of Work. Unless otherwise stated, Provider shall invoice Client monthly in arrears, and Client shall pay each invoice within thirty (30) days of the invoice date. Amounts not paid when due shall accrue interest at the rate of 1.5% per month or the maximum rate permitted by law, whichever is lower. Client shall reimburse Provider for reasonable, pre-approved travel and out-of-pocket expenses incurred in connection with the Services.</w:t>
      </w:r>
    </w:p>
    <w:p/>
    <w:p>
      <w:pPr>
        <w:pStyle w:val="Heading2"/>
      </w:pPr>
      <w:r>
        <w:t xml:space="preserve">4. Term and Termination</w:t>
      </w:r>
    </w:p>
    <w:p>
      <w:r>
        <w:t xml:space="preserve">This Agreement commences on the Effective Date and continues for an initial term of twenty-four (24) months (the "Initial Term"), unless earlier terminated as provided herein. Either Party may terminate this Agreement for the other Party's material breach if such breach remains uncured for thirty (30) days after written notice describing the breach in reasonable detail. Either Party may also terminate for convenience upon ninety (90) days' prior written notice to the other Party. Upon termination, Client shall pay all fees accrued through the effective date of termination, and each Party shall return or destroy the other Party's Confidential Information upon request.</w:t>
      </w:r>
    </w:p>
    <w:p/>
    <w:p>
      <w:pPr>
        <w:pStyle w:val="Heading2"/>
      </w:pPr>
      <w:r>
        <w:t xml:space="preserve">5. Automatic Renewal</w:t>
      </w:r>
    </w:p>
    <w:p>
      <w:r>
        <w:t xml:space="preserve">Following the Initial Term, this Agreement shall automatically renew for successive twelve (12) month terms unless either Party provides written notice of non-renewal at least sixty (60) days prior to the end of the then-current term. Fees for each Renewal Term shall increase by no more than five percent (5%) over the immediately preceding term's fees, and Provider shall provide Client with written notice of any such increase at least thirty (30) days before the Renewal Term begins.</w:t>
      </w:r>
    </w:p>
    <w:p/>
    <w:p>
      <w:pPr>
        <w:pStyle w:val="Heading2"/>
      </w:pPr>
      <w:r>
        <w:t xml:space="preserve">6. Confidentiality</w:t>
      </w:r>
    </w:p>
    <w:p>
      <w:r>
        <w:t xml:space="preserve">Each Party agrees to protect the other Party's Confidential Information using at least the same degree of care it uses to protect its own confidential information of similar nature, and in no event less than reasonable care. Neither Party shall disclose the other Party's Confidential Information to any third party without prior written consent, except to employees, contractors, or advisors who have a legitimate need to know and are bound by confidentiality obligations at least as protective as those in this Agreement, or as required by applicable law or court order, provided the disclosing Party gives prompt notice where legally permitted. These confidentiality obligations shall survive termination of this Agreement for a period of four (4) years.</w:t>
      </w:r>
    </w:p>
    <w:p/>
    <w:p>
      <w:pPr>
        <w:pStyle w:val="Heading2"/>
      </w:pPr>
      <w:r>
        <w:t xml:space="preserve">7. Intellectual Property</w:t>
      </w:r>
    </w:p>
    <w:p>
      <w:r>
        <w:t xml:space="preserve">As between the Parties, Provider retains all right, title, and interest in and to the Platform, including all underlying software, source code, algorithms, and Documentation, together with any modifications or improvements thereto. Client retains ownership of its pre-existing data and any data it uploads to the Platform. Deliverables created specifically for Client under a Statement of Work shall be owned by Client upon full payment of the applicable fees, provided that Provider retains a non-exclusive, royalty-free license to any general methodologies, templates, or reusable components incorporated into such Deliverables.</w:t>
      </w:r>
    </w:p>
    <w:p/>
    <w:p>
      <w:pPr>
        <w:pStyle w:val="Heading2"/>
      </w:pPr>
      <w:r>
        <w:t xml:space="preserve">8. Limitation of Liability</w:t>
      </w:r>
    </w:p>
    <w:p>
      <w:r>
        <w:t xml:space="preserve">EXCEPT FOR BREACHES OF CONFIDENTIALITY OR INDEMNIFICATION OBLIGATIONS, EACH PARTY'S TOTAL LIABILITY ARISING OUT OF OR RELATING TO THIS AGREEMENT SHALL NOT EXCEED THE TOTAL FEES PAID OR PAYABLE BY CLIENT IN THE TWELVE (12) MONTHS PRECEDING THE EVENT GIVING RISE TO THE CLAIM. NEITHER PARTY SHALL BE LIABLE FOR ANY INDIRECT, INCIDENTAL, CONSEQUENTIAL, OR PUNITIVE DAMAGES, EVEN IF ADVISED OF THE POSSIBILITY OF SUCH DAMAGES.</w:t>
      </w:r>
    </w:p>
    <w:p/>
    <w:p>
      <w:pPr>
        <w:pStyle w:val="Heading2"/>
      </w:pPr>
      <w:r>
        <w:t xml:space="preserve">9. Indemnification</w:t>
      </w:r>
    </w:p>
    <w:p>
      <w:r>
        <w:t xml:space="preserve">Client shall indemnify, defend, and hold harmless Provider from third-party claims arising out of Client's misuse of the Platform or breach of this Agreement. Provider shall indemnify, defend, and hold harmless Client from third-party claims alleging that the Platform, as provided and used in accordance with this Agreement, infringes a valid United States patent, copyright, or trade secret, subject to the liability limitations in Section 8.</w:t>
      </w:r>
    </w:p>
    <w:p/>
    <w:p>
      <w:pPr>
        <w:pStyle w:val="Heading2"/>
      </w:pPr>
      <w:r>
        <w:t xml:space="preserve">10. Arbitration</w:t>
      </w:r>
    </w:p>
    <w:p>
      <w:r>
        <w:t xml:space="preserve">Any dispute arising out of or relating to this Agreement that cannot be resolved through good-faith negotiation shall be resolved by binding arbitration administered by the American Arbitration Association under its Commercial Arbitration Rules, before a single arbitrator, with judgment on the award enforceable in any court of competent jurisdiction. Each Party shall bear its own costs, except that the prevailing Party may be awarded reasonable attorneys' fees at the arbitrator's discretion.</w:t>
      </w:r>
    </w:p>
    <w:p/>
    <w:p>
      <w:pPr>
        <w:pStyle w:val="Heading2"/>
      </w:pPr>
      <w:r>
        <w:t xml:space="preserve">11. Governing Law and Jurisdiction</w:t>
      </w:r>
    </w:p>
    <w:p>
      <w:r>
        <w:t xml:space="preserve">This Agreement shall be governed by the laws of the State of Delaware, without regard to its conflict of laws principles. Subject to Section 10, the Parties consent to the exclusive jurisdiction of the state and federal courts located in Wilmington, Delaware for any dispute not subject to arbitration.</w:t>
      </w:r>
    </w:p>
    <w:p/>
    <w:p>
      <w:pPr>
        <w:pStyle w:val="Heading2"/>
      </w:pPr>
      <w:r>
        <w:t xml:space="preserve">12. Force Majeure</w:t>
      </w:r>
    </w:p>
    <w:p>
      <w:r>
        <w:t xml:space="preserve">Neither Party shall be liable for delay or failure in performance resulting from causes beyond its reasonable control, including natural disasters, war, labor disputes, governmental action, or widespread utility or internet outages, provided the affected Party gives prompt notice and uses reasonable efforts to resume performance as soon as practicable.</w:t>
      </w:r>
    </w:p>
    <w:p/>
    <w:p>
      <w:pPr>
        <w:pStyle w:val="Heading2"/>
      </w:pPr>
      <w:r>
        <w:t xml:space="preserve">13. Non-Solicitation</w:t>
      </w:r>
    </w:p>
    <w:p>
      <w:r>
        <w:t xml:space="preserve">During the term of this Agreement and for twelve (12) months thereafter, neither Party shall directly solicit for employment any employee of the other Party who was materially involved in the performance of this Agreement, without the other Party's prior written consent.</w:t>
      </w:r>
    </w:p>
    <w:p/>
    <w:p>
      <w:pPr>
        <w:pStyle w:val="Heading2"/>
      </w:pPr>
      <w:r>
        <w:t xml:space="preserve">14. General Provisions</w:t>
      </w:r>
    </w:p>
    <w:p>
      <w:r>
        <w:t xml:space="preserve">This Agreement, together with all Statements of Work executed hereunder, constitutes the entire agreement between the Parties and supersedes all prior discussions or agreements on the subject matter. This Agreement may be amended only by a written instrument signed by both Parties. If any provision is held unenforceable, the remaining provisions shall continue in full force and effect. Neither Party may assign this Agreement without the other Party's prior written consent, except in connection with a merger, acquisition, or sale of substantially all assets.</w:t>
      </w:r>
    </w:p>
    <w:p/>
    <w:p>
      <w:r>
        <w:rPr>
          <w:b/>
          <w:bCs/>
        </w:rPr>
        <w:t xml:space="preserve">MARKER: BIGDOC-TEST-M4N7Q</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2026-07-16T09:08:05.102Z</dcterms:created>
  <dcterms:modified xsi:type="dcterms:W3CDTF">2026-07-16T09:08:05.116Z</dcterms:modified>
</cp:coreProperties>
</file>

<file path=docProps/custom.xml><?xml version="1.0" encoding="utf-8"?>
<Properties xmlns="http://schemas.openxmlformats.org/officeDocument/2006/custom-properties" xmlns:vt="http://schemas.openxmlformats.org/officeDocument/2006/docPropsVTypes"/>
</file>