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STANDARD CONSULTING AGREEMENT</w:t>
      </w:r>
    </w:p>
    <w:p>
      <w:r>
        <w:t xml:space="preserve">This Standard Consulting Agreement (the "Agreement") is entered into between Bluewave Consulting LLC ("Provider") and Fernhill Manufacturing Inc. ("Client") on July 16, 2026.</w:t>
      </w:r>
    </w:p>
    <w:p/>
    <w:p>
      <w:pPr>
        <w:pStyle w:val="Heading2"/>
      </w:pPr>
      <w:r>
        <w:t xml:space="preserve">1. Term</w:t>
      </w:r>
    </w:p>
    <w:p>
      <w:r>
        <w:t xml:space="preserve">This Agreement shall remain in effect for 1 year from the Effective Date and does not renew automatically. Either party may propose renewal in writing at least 30 days before expiration.</w:t>
      </w:r>
    </w:p>
    <w:p/>
    <w:p>
      <w:pPr>
        <w:pStyle w:val="Heading2"/>
      </w:pPr>
      <w:r>
        <w:t xml:space="preserve">2. Payment</w:t>
      </w:r>
    </w:p>
    <w:p>
      <w:r>
        <w:t xml:space="preserve">Client shall pay Provider a fixed fee of $4,000 per month, invoiced on the 1st of each month, due within 15 days of invoice date.</w:t>
      </w:r>
    </w:p>
    <w:p/>
    <w:p>
      <w:pPr>
        <w:pStyle w:val="Heading2"/>
      </w:pPr>
      <w:r>
        <w:t xml:space="preserve">3. Termination</w:t>
      </w:r>
    </w:p>
    <w:p>
      <w:r>
        <w:t xml:space="preserve">Either party may terminate this Agreement for convenience with 30 days written notice, or immediately for material breach that remains uncured after 15 days.</w:t>
      </w:r>
    </w:p>
    <w:p/>
    <w:p>
      <w:pPr>
        <w:pStyle w:val="Heading2"/>
      </w:pPr>
      <w:r>
        <w:t xml:space="preserve">4. Confidentiality</w:t>
      </w:r>
    </w:p>
    <w:p>
      <w:r>
        <w:t xml:space="preserve">Both parties agree to keep all shared confidential information private for a period of 2 years following termination.</w:t>
      </w:r>
    </w:p>
    <w:p/>
    <w:p>
      <w:pPr>
        <w:pStyle w:val="Heading2"/>
      </w:pPr>
      <w:r>
        <w:t xml:space="preserve">5. Liability</w:t>
      </w:r>
    </w:p>
    <w:p>
      <w:r>
        <w:t xml:space="preserve">Each party's total liability under this Agreement is capped at the total fees paid in the preceding 6 months. Neither party is liable for indirect or consequential damages.</w:t>
      </w:r>
    </w:p>
    <w:p/>
    <w:p>
      <w:pPr>
        <w:pStyle w:val="Heading2"/>
      </w:pPr>
      <w:r>
        <w:t xml:space="preserve">6. Intellectual Property</w:t>
      </w:r>
    </w:p>
    <w:p>
      <w:r>
        <w:t xml:space="preserve">All work product created by Provider specifically for Client under this Agreement shall be owned by Client upon full payment. Provider retains rights to its pre-existing tools and methodologies.</w:t>
      </w:r>
    </w:p>
    <w:p/>
    <w:p>
      <w:pPr>
        <w:pStyle w:val="Heading2"/>
      </w:pPr>
      <w:r>
        <w:t xml:space="preserve">7. Governing Law</w:t>
      </w:r>
    </w:p>
    <w:p>
      <w:r>
        <w:t xml:space="preserve">This Agreement shall be governed by the laws of the State of New York, without regard to conflict of law principles.</w:t>
      </w:r>
    </w:p>
    <w:p/>
    <w:p>
      <w:r>
        <w:rPr>
          <w:b/>
          <w:bCs/>
        </w:rPr>
        <w:t xml:space="preserve">MARKER: LOWRISK-TEST-A1B2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2026-07-16T06:08:46.723Z</dcterms:created>
  <dcterms:modified xsi:type="dcterms:W3CDTF">2026-07-16T06:08:46.745Z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