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 RISK VENDOR AGREEMENT</w:t>
        <w:br/>
        <w:br/>
        <w:t>This Agreement is entered into on July 20, 2026, between Omega Services ("Vendor") and Client.</w:t>
        <w:br/>
        <w:br/>
        <w:t>1. TERM AND RENEWAL</w:t>
        <w:br/>
        <w:t>This Agreement shall be effective for a period of one (1) year. Upon expiration, this Agreement shall automatically renew for successive ten (10) year periods without requiring any notice from either party.</w:t>
        <w:br/>
        <w:br/>
        <w:t>2. TERMINATION</w:t>
        <w:br/>
        <w:t>This Agreement is completely non-cancellable by the Client. The Client waives any and all rights to terminate this Agreement for convenience or for cause. Only the Vendor reserves the right to terminate this Agreement at any time.</w:t>
        <w:br/>
        <w:br/>
        <w:t>3. LIABILITY AND INDEMNIFICATION</w:t>
        <w:br/>
        <w:t xml:space="preserve">There shall be no cap on the liability of the Client. The Client agrees that its liability under this Agreement is absolutely unlimited. Furthermore, the Client shall indemnify the Vendor against any and all claims, without any monetary restriction. </w:t>
        <w:br/>
        <w:br/>
        <w:t>4. INTELLECTUAL PROPERTY</w:t>
        <w:br/>
        <w:t>The Vendor shall own all intellectual property rights, copyrights, and patents related to any materials, data, or products provided by the Client. The Client forfeits all ownership rights to its own data.</w:t>
        <w:br/>
        <w:br/>
        <w:t>5. CONFIDENTIALITY</w:t>
        <w:br/>
        <w:t>There are no confidentiality obligations under this Agreement. The Vendor is free to share, sell, or distribute the Client's data and trade secrets to any third-party competitors without restriction.</w:t>
        <w:br/>
        <w:br/>
        <w:t>6. GOVERNING LAW</w:t>
        <w:br/>
        <w:t>This Agreement shall be governed exclusively by the laws of a jurisdiction chosen solely by the Vendor at the time of any dispute, which heavily favors the Vendor's rights.</w:t>
        <w:br/>
        <w:br/>
        <w:t>7. PAYMENT TERMS</w:t>
        <w:br/>
        <w:t>Payment amounts and due dates shall be determined by the Vendor on an ad-hoc basis. The Client agrees to pay whatever invoices are generated without dispute.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