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Trend-Following Momentum Strategy</w:t>
      </w:r>
    </w:p>
    <w:p>
      <w:pPr>
        <w:jc w:val="center"/>
      </w:pPr>
      <w:r>
        <w:rPr>
          <w:i/>
          <w:sz w:val="24"/>
        </w:rPr>
        <w:t>Research Platform &amp; Strategy Discussion Guide</w:t>
      </w:r>
    </w:p>
    <w:p/>
    <w:p>
      <w:r>
        <w:t>Prepared for: Strategy Discussion &amp; Optimization</w:t>
      </w:r>
    </w:p>
    <w:p>
      <w:r>
        <w:t>Date: May 2026</w:t>
      </w:r>
    </w:p>
    <w:p>
      <w:r>
        <w:br w:type="page"/>
      </w:r>
    </w:p>
    <w:p>
      <w:pPr>
        <w:pStyle w:val="Heading1"/>
      </w:pPr>
      <w:r>
        <w:rPr>
          <w:color w:val="1F4E78"/>
        </w:rP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Strategy Overview: How It Works</w:t>
      </w:r>
    </w:p>
    <w:p>
      <w:pPr>
        <w:pStyle w:val="ListBullet"/>
      </w:pPr>
      <w:r>
        <w:t>3. The Research Platform</w:t>
      </w:r>
    </w:p>
    <w:p>
      <w:pPr>
        <w:pStyle w:val="ListBullet"/>
      </w:pPr>
      <w:r>
        <w:t>4. Standard Parameters &amp; Rationale</w:t>
      </w:r>
    </w:p>
    <w:p>
      <w:pPr>
        <w:pStyle w:val="ListBullet"/>
      </w:pPr>
      <w:r>
        <w:t>5. Performance Metrics</w:t>
      </w:r>
    </w:p>
    <w:p>
      <w:pPr>
        <w:pStyle w:val="ListBullet"/>
      </w:pPr>
      <w:r>
        <w:t>6. Discussion Framework: Strategy Refinement</w:t>
      </w:r>
    </w:p>
    <w:p>
      <w:pPr>
        <w:pStyle w:val="ListBullet"/>
      </w:pPr>
      <w:r>
        <w:t>7. Phase 2 Roadmap: Live Signal Delivery</w:t>
      </w:r>
    </w:p>
    <w:p>
      <w:pPr>
        <w:pStyle w:val="ListBullet"/>
      </w:pPr>
      <w:r>
        <w:t>8. Risk Disclosures &amp; Disclaimers</w:t>
      </w:r>
    </w:p>
    <w:p>
      <w:r>
        <w:br w:type="page"/>
      </w:r>
    </w:p>
    <w:p>
      <w:pPr>
        <w:pStyle w:val="Heading1"/>
      </w:pPr>
      <w:r>
        <w:rPr>
          <w:color w:val="1F4E78"/>
        </w:rPr>
        <w:t>1. Executive Summary</w:t>
      </w:r>
    </w:p>
    <w:p>
      <w:r>
        <w:t>The Trend-Following Momentum Strategy is a quantitative, rules-based approach to US equity investing designed to:</w:t>
      </w:r>
    </w:p>
    <w:p>
      <w:pPr>
        <w:pStyle w:val="ListBullet"/>
      </w:pPr>
      <w:r>
        <w:t>Capture mid-term momentum in rising stocks (trend-following)</w:t>
      </w:r>
    </w:p>
    <w:p>
      <w:pPr>
        <w:pStyle w:val="ListBullet"/>
      </w:pPr>
      <w:r>
        <w:t>Protect capital with systematic, volatility-aware risk management</w:t>
      </w:r>
    </w:p>
    <w:p>
      <w:pPr>
        <w:pStyle w:val="ListBullet"/>
      </w:pPr>
      <w:r>
        <w:t>Optimize position sizing and portfolio exposure for different market conditions</w:t>
      </w:r>
    </w:p>
    <w:p>
      <w:pPr>
        <w:pStyle w:val="ListBullet"/>
      </w:pPr>
      <w:r>
        <w:t>Enable live signal delivery for real-time execution with human/AI analysis</w:t>
      </w:r>
    </w:p>
    <w:p>
      <w:pPr>
        <w:pStyle w:val="Heading3"/>
      </w:pPr>
      <w:r>
        <w:t>Key Differentiators</w:t>
      </w:r>
    </w:p>
    <w:p>
      <w:pPr>
        <w:pStyle w:val="ListBullet"/>
      </w:pPr>
      <w:r>
        <w:t>Multi-horizon momentum: blends 1-month, 3-month, 6-month, and 12-month returns</w:t>
      </w:r>
    </w:p>
    <w:p>
      <w:pPr>
        <w:pStyle w:val="ListBullet"/>
      </w:pPr>
      <w:r>
        <w:t>Vol-normalized scoring: adjusts for market turbulence</w:t>
      </w:r>
    </w:p>
    <w:p>
      <w:pPr>
        <w:pStyle w:val="ListBullet"/>
      </w:pPr>
      <w:r>
        <w:t>Hybrid portfolio constraints: manages correlation risk and gross exposure</w:t>
      </w:r>
    </w:p>
    <w:p>
      <w:pPr>
        <w:pStyle w:val="ListBullet"/>
      </w:pPr>
      <w:r>
        <w:t>Trailing stops: locks in gains while remaining in profitable trends</w:t>
      </w:r>
    </w:p>
    <w:p>
      <w:pPr>
        <w:pStyle w:val="ListBullet"/>
      </w:pPr>
      <w:r>
        <w:t>Pyramiding: adds to winning positions with systematic confidence</w:t>
      </w:r>
    </w:p>
    <w:p>
      <w:pPr>
        <w:pStyle w:val="Heading3"/>
      </w:pPr>
      <w:r>
        <w:t>Historical Performance (Smoke Test)</w:t>
      </w:r>
    </w:p>
    <w:p>
      <w:r>
        <w:t>Tested on 5 large-cap stocks (SPY, AAPL, MSFT, GOOGL, NVDA) over 5 years of daily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5E8F0"/>
          </w:tcPr>
          <w:p>
            <w:r>
              <w:t>Metric</w:t>
            </w:r>
          </w:p>
        </w:tc>
        <w:tc>
          <w:tcPr>
            <w:tcW w:type="dxa" w:w="4320"/>
            <w:shd w:fill="D5E8F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Total Return</w:t>
            </w:r>
          </w:p>
        </w:tc>
        <w:tc>
          <w:tcPr>
            <w:tcW w:type="dxa" w:w="4320"/>
          </w:tcPr>
          <w:p>
            <w:r>
              <w:t>+9.17%</w:t>
            </w:r>
          </w:p>
        </w:tc>
      </w:tr>
      <w:tr>
        <w:tc>
          <w:tcPr>
            <w:tcW w:type="dxa" w:w="4320"/>
          </w:tcPr>
          <w:p>
            <w:r>
              <w:t>CAGR</w:t>
            </w:r>
          </w:p>
        </w:tc>
        <w:tc>
          <w:tcPr>
            <w:tcW w:type="dxa" w:w="4320"/>
          </w:tcPr>
          <w:p>
            <w:r>
              <w:t>+1.77%</w:t>
            </w:r>
          </w:p>
        </w:tc>
      </w:tr>
      <w:tr>
        <w:tc>
          <w:tcPr>
            <w:tcW w:type="dxa" w:w="4320"/>
          </w:tcPr>
          <w:p>
            <w:r>
              <w:t>Sharpe Ratio</w:t>
            </w:r>
          </w:p>
        </w:tc>
        <w:tc>
          <w:tcPr>
            <w:tcW w:type="dxa" w:w="4320"/>
          </w:tcPr>
          <w:p>
            <w:r>
              <w:t>0.80</w:t>
            </w:r>
          </w:p>
        </w:tc>
      </w:tr>
      <w:tr>
        <w:tc>
          <w:tcPr>
            <w:tcW w:type="dxa" w:w="4320"/>
          </w:tcPr>
          <w:p>
            <w:r>
              <w:t>Max Drawdown</w:t>
            </w:r>
          </w:p>
        </w:tc>
        <w:tc>
          <w:tcPr>
            <w:tcW w:type="dxa" w:w="4320"/>
          </w:tcPr>
          <w:p>
            <w:r>
              <w:t>-2.67%</w:t>
            </w:r>
          </w:p>
        </w:tc>
      </w:tr>
      <w:tr>
        <w:tc>
          <w:tcPr>
            <w:tcW w:type="dxa" w:w="4320"/>
          </w:tcPr>
          <w:p>
            <w:r>
              <w:t>Win Rate</w:t>
            </w:r>
          </w:p>
        </w:tc>
        <w:tc>
          <w:tcPr>
            <w:tcW w:type="dxa" w:w="4320"/>
          </w:tcPr>
          <w:p>
            <w:r>
              <w:t>36.67%</w:t>
            </w:r>
          </w:p>
        </w:tc>
      </w:tr>
      <w:tr>
        <w:tc>
          <w:tcPr>
            <w:tcW w:type="dxa" w:w="4320"/>
          </w:tcPr>
          <w:p>
            <w:r>
              <w:t>Profit Factor</w:t>
            </w:r>
          </w:p>
        </w:tc>
        <w:tc>
          <w:tcPr>
            <w:tcW w:type="dxa" w:w="4320"/>
          </w:tcPr>
          <w:p>
            <w:r>
              <w:t>2.30</w:t>
            </w:r>
          </w:p>
        </w:tc>
      </w:tr>
      <w:tr>
        <w:tc>
          <w:tcPr>
            <w:tcW w:type="dxa" w:w="4320"/>
          </w:tcPr>
          <w:p>
            <w:r>
              <w:t>Avg Trade P&amp;L</w:t>
            </w:r>
          </w:p>
        </w:tc>
        <w:tc>
          <w:tcPr>
            <w:tcW w:type="dxa" w:w="4320"/>
          </w:tcPr>
          <w:p>
            <w:r>
              <w:t>+$152.74</w:t>
            </w:r>
          </w:p>
        </w:tc>
      </w:tr>
    </w:tbl>
    <w:p>
      <w:pPr>
        <w:pStyle w:val="IntenseQuote"/>
      </w:pPr>
      <w:r>
        <w:t>Note: Limited universe (5 stocks) produces lower volatility. Full S&amp;P 100 shows higher CAGR and volatility.</w:t>
      </w:r>
    </w:p>
    <w:p>
      <w:r>
        <w:br w:type="page"/>
      </w:r>
    </w:p>
    <w:p>
      <w:pPr>
        <w:pStyle w:val="Heading1"/>
      </w:pPr>
      <w:r>
        <w:rPr>
          <w:color w:val="1F4E78"/>
        </w:rPr>
        <w:t>2. Strategy Overview: How It Works</w:t>
      </w:r>
    </w:p>
    <w:p>
      <w:pPr>
        <w:pStyle w:val="Heading2"/>
      </w:pPr>
      <w:r>
        <w:rPr>
          <w:color w:val="2E75B6"/>
        </w:rPr>
        <w:t>The Four-Stage Decision Process</w:t>
      </w:r>
    </w:p>
    <w:p>
      <w:r>
        <w:t>Every trading day, the strategy cycles through four stages:</w:t>
      </w:r>
    </w:p>
    <w:p>
      <w:pPr>
        <w:pStyle w:val="Heading3"/>
      </w:pPr>
      <w:r>
        <w:t>Stage 1: Gate (Eligibility Filter)</w:t>
      </w:r>
    </w:p>
    <w:p>
      <w:r>
        <w:t>At close of each bar, scan the universe. A stock must pass THREE gates:</w:t>
      </w:r>
    </w:p>
    <w:p>
      <w:pPr>
        <w:pStyle w:val="ListNumber"/>
      </w:pPr>
      <w:r>
        <w:t>Momentum Score &gt; 0.25: vol-normalized blend of 1mo/3mo/6mo/12mo returns</w:t>
      </w:r>
    </w:p>
    <w:p>
      <w:pPr>
        <w:pStyle w:val="ListNumber"/>
      </w:pPr>
      <w:r>
        <w:t>Trend Filter: EMA(50) &gt; EMA(150) AND slope rising</w:t>
      </w:r>
    </w:p>
    <w:p>
      <w:pPr>
        <w:pStyle w:val="ListNumber"/>
      </w:pPr>
      <w:r>
        <w:t>Breakout: Close &gt; highest close of prior 20 bars</w:t>
      </w:r>
    </w:p>
    <w:p>
      <w:pPr>
        <w:pStyle w:val="Heading3"/>
      </w:pPr>
      <w:r>
        <w:t>Stage 2: Entry (Risk-Based Position Sizing)</w:t>
      </w:r>
    </w:p>
    <w:p>
      <w:r>
        <w:t>For eligible stocks, calculate position size at next bar open:</w:t>
      </w:r>
    </w:p>
    <w:p>
      <w:pPr>
        <w:pStyle w:val="IntenseQuote"/>
      </w:pPr>
      <w:r>
        <w:t>Units = (0.5% × Equity) / (ATR × Price)</w:t>
      </w:r>
    </w:p>
    <w:p>
      <w:r>
        <w:t>Example: $100k equity, $150 entry, $2.40 ATR → 1.4 units → floor to 1 share</w:t>
      </w:r>
    </w:p>
    <w:p>
      <w:pPr>
        <w:pStyle w:val="Heading3"/>
      </w:pPr>
      <w:r>
        <w:t>Stage 3: Management (Stops, Profit-Taking, Pyramiding)</w:t>
      </w:r>
    </w:p>
    <w:p>
      <w:r>
        <w:t>Hard Stops:</w:t>
      </w:r>
    </w:p>
    <w:p>
      <w:pPr>
        <w:pStyle w:val="ListBullet"/>
      </w:pPr>
      <w:r>
        <w:t>Initial Stop: Entry − (2.5 × ATR)</w:t>
      </w:r>
    </w:p>
    <w:p>
      <w:pPr>
        <w:pStyle w:val="ListBullet"/>
      </w:pPr>
      <w:r>
        <w:t>Trailing Stop: Max Price − (3.0 × ATR) [ratchets UP only]</w:t>
      </w:r>
    </w:p>
    <w:p>
      <w:r>
        <w:t>Partial Profit-Taking:</w:t>
      </w:r>
    </w:p>
    <w:p>
      <w:pPr>
        <w:pStyle w:val="ListBullet"/>
      </w:pPr>
      <w:r>
        <w:t>At 2R (twice initial risk), sell 50%; remaining 50% trails</w:t>
      </w:r>
    </w:p>
    <w:p>
      <w:r>
        <w:t>Pyramiding:</w:t>
      </w:r>
    </w:p>
    <w:p>
      <w:pPr>
        <w:pStyle w:val="ListBullet"/>
      </w:pPr>
      <w:r>
        <w:t>Up to 2 additional entries (0.75 units each) on continued breakouts</w:t>
      </w:r>
    </w:p>
    <w:p>
      <w:pPr>
        <w:pStyle w:val="Heading3"/>
      </w:pPr>
      <w:r>
        <w:t>Stage 4: Portfolio Rebalance</w:t>
      </w:r>
    </w:p>
    <w:p>
      <w:r>
        <w:t>Recalculate gross exposure. If &gt; 150%, scale down future position sizes proportionally.</w:t>
      </w:r>
    </w:p>
    <w:p>
      <w:pPr>
        <w:pStyle w:val="Heading2"/>
      </w:pPr>
      <w:r>
        <w:rPr>
          <w:color w:val="2E75B6"/>
        </w:rPr>
        <w:t>Real-World Example: AAPL Entry to Exit</w:t>
      </w:r>
    </w:p>
    <w:p>
      <w:r>
        <w:rPr>
          <w:b/>
        </w:rPr>
        <w:t>Day 1 (Mon, close)</w:t>
      </w:r>
      <w:r>
        <w:t>: Momentum score 0.18 (&lt; 0.25) ✗ Not eligible</w:t>
      </w:r>
    </w:p>
    <w:p>
      <w:r>
        <w:rPr>
          <w:b/>
        </w:rPr>
        <w:t>Day 2 (Tue, close)</w:t>
      </w:r>
      <w:r>
        <w:t>: Score 0.32 ✓, EMA trend ✓, breakout ✓ → Entry signal triggered</w:t>
      </w:r>
    </w:p>
    <w:p>
      <w:r>
        <w:rPr>
          <w:b/>
        </w:rPr>
        <w:t>Day 3 (Wed, open)</w:t>
      </w:r>
      <w:r>
        <w:t>: Fill at $151.80, ATR $2.40 → 1 share opened, stop $145.80</w:t>
      </w:r>
    </w:p>
    <w:p>
      <w:r>
        <w:rPr>
          <w:b/>
        </w:rPr>
        <w:t>Day 4 (Thu)</w:t>
      </w:r>
      <w:r>
        <w:t>: High $154.20 → trailing stop ratchets to $147.80</w:t>
      </w:r>
    </w:p>
    <w:p>
      <w:r>
        <w:rPr>
          <w:b/>
        </w:rPr>
        <w:t>Day 5 (Fri)</w:t>
      </w:r>
      <w:r>
        <w:t>: High $155.50 → trailing stop ratchets to $148.30</w:t>
      </w:r>
    </w:p>
    <w:p>
      <w:r>
        <w:rPr>
          <w:b/>
        </w:rPr>
        <w:t>Day 7 (Tue, open)</w:t>
      </w:r>
      <w:r>
        <w:t>: Price opens $149.50, still above stop $148.30</w:t>
      </w:r>
    </w:p>
    <w:p>
      <w:r>
        <w:rPr>
          <w:b/>
        </w:rPr>
        <w:t>Day 8 (Wed)</w:t>
      </w:r>
      <w:r>
        <w:t>: Price falls to $147.00 → STOP HIT → Exit at $148.30 → P&amp;L −$3.50/share</w:t>
      </w:r>
    </w:p>
    <w:p>
      <w:r>
        <w:br w:type="page"/>
      </w:r>
    </w:p>
    <w:p>
      <w:pPr>
        <w:pStyle w:val="Heading1"/>
      </w:pPr>
      <w:r>
        <w:rPr>
          <w:color w:val="1F4E78"/>
        </w:rPr>
        <w:t>3. The Research Platform</w:t>
      </w:r>
    </w:p>
    <w:p>
      <w:pPr>
        <w:pStyle w:val="Heading2"/>
      </w:pPr>
      <w:r>
        <w:rPr>
          <w:color w:val="2E75B6"/>
        </w:rPr>
        <w:t>What Is It?</w:t>
      </w:r>
    </w:p>
    <w:p>
      <w:r>
        <w:t>A local Python web application for backtesting the momentum strategy:</w:t>
      </w:r>
    </w:p>
    <w:p>
      <w:pPr>
        <w:pStyle w:val="ListBullet"/>
      </w:pPr>
      <w:r>
        <w:t>Full event-driven backtest engine (no look-ahead bias)</w:t>
      </w:r>
    </w:p>
    <w:p>
      <w:pPr>
        <w:pStyle w:val="ListBullet"/>
      </w:pPr>
      <w:r>
        <w:t>Interactive web UI for parameter exploration</w:t>
      </w:r>
    </w:p>
    <w:p>
      <w:pPr>
        <w:pStyle w:val="ListBullet"/>
      </w:pPr>
      <w:r>
        <w:t>Real market data from FMP (Financial Modeling Prep)</w:t>
      </w:r>
    </w:p>
    <w:p>
      <w:pPr>
        <w:pStyle w:val="ListBullet"/>
      </w:pPr>
      <w:r>
        <w:t>SQLite database for run history &amp; comparison</w:t>
      </w:r>
    </w:p>
    <w:p>
      <w:pPr>
        <w:pStyle w:val="ListBullet"/>
      </w:pPr>
      <w:r>
        <w:t>Comprehensive charts: equity curves, drawdown, monthly returns, trade analysis</w:t>
      </w:r>
    </w:p>
    <w:p>
      <w:pPr>
        <w:pStyle w:val="Heading2"/>
      </w:pPr>
      <w:r>
        <w:rPr>
          <w:color w:val="2E75B6"/>
        </w:rPr>
        <w:t>How to Use It</w:t>
      </w:r>
    </w:p>
    <w:p>
      <w:pPr>
        <w:pStyle w:val="ListNumber"/>
      </w:pPr>
      <w:r>
        <w:t>Launch the platform: python run.py</w:t>
      </w:r>
    </w:p>
    <w:p>
      <w:pPr>
        <w:pStyle w:val="ListNumber"/>
      </w:pPr>
      <w:r>
        <w:t>Browser opens at http://127.0.0.1:8080</w:t>
      </w:r>
    </w:p>
    <w:p>
      <w:pPr>
        <w:pStyle w:val="ListNumber"/>
      </w:pPr>
      <w:r>
        <w:t>Navigate to "New Backtest" tab</w:t>
      </w:r>
    </w:p>
    <w:p>
      <w:pPr>
        <w:pStyle w:val="ListNumber"/>
      </w:pPr>
      <w:r>
        <w:t>Choose: universe (5-stock smoke test or S&amp;P 100), dates, capital, parameters</w:t>
      </w:r>
    </w:p>
    <w:p>
      <w:pPr>
        <w:pStyle w:val="ListNumber"/>
      </w:pPr>
      <w:r>
        <w:t>Click "Run Backtest" (5–60 seconds depending on size)</w:t>
      </w:r>
    </w:p>
    <w:p>
      <w:pPr>
        <w:pStyle w:val="ListNumber"/>
      </w:pPr>
      <w:r>
        <w:t>View results in "Run Detail" tab with 7 tabs of analysis</w:t>
      </w:r>
    </w:p>
    <w:p>
      <w:pPr>
        <w:pStyle w:val="ListNumber"/>
      </w:pPr>
      <w:r>
        <w:t>Compare multiple runs side-by-side</w:t>
      </w:r>
    </w:p>
    <w:p>
      <w:pPr>
        <w:pStyle w:val="Heading3"/>
      </w:pPr>
      <w:r>
        <w:t>Key Pages</w:t>
      </w:r>
    </w:p>
    <w:p>
      <w:pPr>
        <w:pStyle w:val="ListBullet"/>
      </w:pPr>
      <w:r>
        <w:t>New Backtest: Parameter form (6 groups: Signal, Trend, Risk, Scaling, Portfolio, Costs)</w:t>
      </w:r>
    </w:p>
    <w:p>
      <w:pPr>
        <w:pStyle w:val="ListBullet"/>
      </w:pPr>
      <w:r>
        <w:t>Run Detail: 7 tabs (Summary KPIs, Equity &amp; Drawdown, Returns Heatmap, Trades Table, Per-Symbol, Diagnostics, Parameters)</w:t>
      </w:r>
    </w:p>
    <w:p>
      <w:pPr>
        <w:pStyle w:val="ListBullet"/>
      </w:pPr>
      <w:r>
        <w:t>Run History: All saved runs with delete &amp; compare options</w:t>
      </w:r>
    </w:p>
    <w:p>
      <w:pPr>
        <w:pStyle w:val="ListBullet"/>
      </w:pPr>
      <w:r>
        <w:t>Compare: Overlay equity curves and metric comparison tables</w:t>
      </w:r>
    </w:p>
    <w:p>
      <w:pPr>
        <w:pStyle w:val="ListBullet"/>
      </w:pPr>
      <w:r>
        <w:t>Data Refresh: Incremental FMP data update</w:t>
      </w:r>
    </w:p>
    <w:p>
      <w:r>
        <w:br w:type="page"/>
      </w:r>
    </w:p>
    <w:p>
      <w:pPr>
        <w:pStyle w:val="Heading1"/>
      </w:pPr>
      <w:r>
        <w:rPr>
          <w:color w:val="1F4E78"/>
        </w:rPr>
        <w:t>4. Standard Parameters &amp; Rationale</w:t>
      </w:r>
    </w:p>
    <w:p>
      <w:pPr>
        <w:pStyle w:val="Heading2"/>
      </w:pPr>
      <w:r>
        <w:rPr>
          <w:color w:val="2E75B6"/>
        </w:rPr>
        <w:t>Signal Generation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t>Parameter</w:t>
            </w:r>
          </w:p>
        </w:tc>
        <w:tc>
          <w:tcPr>
            <w:tcW w:type="dxa" w:w="2160"/>
            <w:shd w:fill="D5E8F0"/>
          </w:tcPr>
          <w:p>
            <w:r>
              <w:t>Default</w:t>
            </w:r>
          </w:p>
        </w:tc>
        <w:tc>
          <w:tcPr>
            <w:tcW w:type="dxa" w:w="2160"/>
            <w:shd w:fill="D5E8F0"/>
          </w:tcPr>
          <w:p>
            <w:r>
              <w:t>Range</w:t>
            </w:r>
          </w:p>
        </w:tc>
        <w:tc>
          <w:tcPr>
            <w:tcW w:type="dxa" w:w="2160"/>
            <w:shd w:fill="D5E8F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Score Threshold</w:t>
            </w:r>
          </w:p>
        </w:tc>
        <w:tc>
          <w:tcPr>
            <w:tcW w:type="dxa" w:w="2160"/>
          </w:tcPr>
          <w:p>
            <w:r>
              <w:t>0.25</w:t>
            </w:r>
          </w:p>
        </w:tc>
        <w:tc>
          <w:tcPr>
            <w:tcW w:type="dxa" w:w="2160"/>
          </w:tcPr>
          <w:p>
            <w:r>
              <w:t>0.10–0.50</w:t>
            </w:r>
          </w:p>
        </w:tc>
        <w:tc>
          <w:tcPr>
            <w:tcW w:type="dxa" w:w="2160"/>
          </w:tcPr>
          <w:p>
            <w:r>
              <w:t>Filters ~80% of universe</w:t>
            </w:r>
          </w:p>
        </w:tc>
      </w:tr>
      <w:tr>
        <w:tc>
          <w:tcPr>
            <w:tcW w:type="dxa" w:w="2160"/>
          </w:tcPr>
          <w:p>
            <w:r>
              <w:t>EMA Short</w:t>
            </w:r>
          </w:p>
        </w:tc>
        <w:tc>
          <w:tcPr>
            <w:tcW w:type="dxa" w:w="2160"/>
          </w:tcPr>
          <w:p>
            <w:r>
              <w:t>50 bars</w:t>
            </w:r>
          </w:p>
        </w:tc>
        <w:tc>
          <w:tcPr>
            <w:tcW w:type="dxa" w:w="2160"/>
          </w:tcPr>
          <w:p>
            <w:r>
              <w:t>20–100</w:t>
            </w:r>
          </w:p>
        </w:tc>
        <w:tc>
          <w:tcPr>
            <w:tcW w:type="dxa" w:w="2160"/>
          </w:tcPr>
          <w:p>
            <w:r>
              <w:t>~2.5 months; medium-trend</w:t>
            </w:r>
          </w:p>
        </w:tc>
      </w:tr>
      <w:tr>
        <w:tc>
          <w:tcPr>
            <w:tcW w:type="dxa" w:w="2160"/>
          </w:tcPr>
          <w:p>
            <w:r>
              <w:t>EMA Long</w:t>
            </w:r>
          </w:p>
        </w:tc>
        <w:tc>
          <w:tcPr>
            <w:tcW w:type="dxa" w:w="2160"/>
          </w:tcPr>
          <w:p>
            <w:r>
              <w:t>150 bars</w:t>
            </w:r>
          </w:p>
        </w:tc>
        <w:tc>
          <w:tcPr>
            <w:tcW w:type="dxa" w:w="2160"/>
          </w:tcPr>
          <w:p>
            <w:r>
              <w:t>100–300</w:t>
            </w:r>
          </w:p>
        </w:tc>
        <w:tc>
          <w:tcPr>
            <w:tcW w:type="dxa" w:w="2160"/>
          </w:tcPr>
          <w:p>
            <w:r>
              <w:t>~6 months; regime filter</w:t>
            </w:r>
          </w:p>
        </w:tc>
      </w:tr>
      <w:tr>
        <w:tc>
          <w:tcPr>
            <w:tcW w:type="dxa" w:w="2160"/>
          </w:tcPr>
          <w:p>
            <w:r>
              <w:t>Breakout Bars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10–50</w:t>
            </w:r>
          </w:p>
        </w:tc>
        <w:tc>
          <w:tcPr>
            <w:tcW w:type="dxa" w:w="2160"/>
          </w:tcPr>
          <w:p>
            <w:r>
              <w:t>~1 month; classical swing</w:t>
            </w:r>
          </w:p>
        </w:tc>
      </w:tr>
      <w:tr>
        <w:tc>
          <w:tcPr>
            <w:tcW w:type="dxa" w:w="2160"/>
          </w:tcPr>
          <w:p>
            <w:r>
              <w:t>Pyramid Adds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0–3</w:t>
            </w:r>
          </w:p>
        </w:tc>
        <w:tc>
          <w:tcPr>
            <w:tcW w:type="dxa" w:w="2160"/>
          </w:tcPr>
          <w:p>
            <w:r>
              <w:t>Add to winners at 0.75 units each</w:t>
            </w:r>
          </w:p>
        </w:tc>
      </w:tr>
    </w:tbl>
    <w:p>
      <w:pPr>
        <w:pStyle w:val="Heading2"/>
      </w:pPr>
      <w:r>
        <w:rPr>
          <w:color w:val="2E75B6"/>
        </w:rPr>
        <w:t>Risk Management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5E8F0"/>
          </w:tcPr>
          <w:p>
            <w:r>
              <w:t>Parameter</w:t>
            </w:r>
          </w:p>
        </w:tc>
        <w:tc>
          <w:tcPr>
            <w:tcW w:type="dxa" w:w="2160"/>
            <w:shd w:fill="D5E8F0"/>
          </w:tcPr>
          <w:p>
            <w:r>
              <w:t>Default</w:t>
            </w:r>
          </w:p>
        </w:tc>
        <w:tc>
          <w:tcPr>
            <w:tcW w:type="dxa" w:w="2160"/>
            <w:shd w:fill="D5E8F0"/>
          </w:tcPr>
          <w:p>
            <w:r>
              <w:t>Range</w:t>
            </w:r>
          </w:p>
        </w:tc>
        <w:tc>
          <w:tcPr>
            <w:tcW w:type="dxa" w:w="2160"/>
            <w:shd w:fill="D5E8F0"/>
          </w:tcPr>
          <w:p>
            <w:r>
              <w:t>Rationale</w:t>
            </w:r>
          </w:p>
        </w:tc>
      </w:tr>
      <w:tr>
        <w:tc>
          <w:tcPr>
            <w:tcW w:type="dxa" w:w="2160"/>
          </w:tcPr>
          <w:p>
            <w:r>
              <w:t>Risk %</w:t>
            </w:r>
          </w:p>
        </w:tc>
        <w:tc>
          <w:tcPr>
            <w:tcW w:type="dxa" w:w="2160"/>
          </w:tcPr>
          <w:p>
            <w:r>
              <w:t>0.5%</w:t>
            </w:r>
          </w:p>
        </w:tc>
        <w:tc>
          <w:tcPr>
            <w:tcW w:type="dxa" w:w="2160"/>
          </w:tcPr>
          <w:p>
            <w:r>
              <w:t>0.1%–1.0%</w:t>
            </w:r>
          </w:p>
        </w:tc>
        <w:tc>
          <w:tcPr>
            <w:tcW w:type="dxa" w:w="2160"/>
          </w:tcPr>
          <w:p>
            <w:r>
              <w:t>Equity at risk per unit</w:t>
            </w:r>
          </w:p>
        </w:tc>
      </w:tr>
      <w:tr>
        <w:tc>
          <w:tcPr>
            <w:tcW w:type="dxa" w:w="2160"/>
          </w:tcPr>
          <w:p>
            <w:r>
              <w:t>Stop ATR</w:t>
            </w:r>
          </w:p>
        </w:tc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1.5–4.0</w:t>
            </w:r>
          </w:p>
        </w:tc>
        <w:tc>
          <w:tcPr>
            <w:tcW w:type="dxa" w:w="2160"/>
          </w:tcPr>
          <w:p>
            <w:r>
              <w:t>Tighter = fewer whipsaws</w:t>
            </w:r>
          </w:p>
        </w:tc>
      </w:tr>
      <w:tr>
        <w:tc>
          <w:tcPr>
            <w:tcW w:type="dxa" w:w="2160"/>
          </w:tcPr>
          <w:p>
            <w:r>
              <w:t>Trail ATR</w:t>
            </w:r>
          </w:p>
        </w:tc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2.0–5.0</w:t>
            </w:r>
          </w:p>
        </w:tc>
        <w:tc>
          <w:tcPr>
            <w:tcW w:type="dxa" w:w="2160"/>
          </w:tcPr>
          <w:p>
            <w:r>
              <w:t>Wider = stay longer</w:t>
            </w:r>
          </w:p>
        </w:tc>
      </w:tr>
      <w:tr>
        <w:tc>
          <w:tcPr>
            <w:tcW w:type="dxa" w:w="2160"/>
          </w:tcPr>
          <w:p>
            <w:r>
              <w:t>TP at 2R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25%–75%</w:t>
            </w:r>
          </w:p>
        </w:tc>
        <w:tc>
          <w:tcPr>
            <w:tcW w:type="dxa" w:w="2160"/>
          </w:tcPr>
          <w:p>
            <w:r>
              <w:t>Lock profits; rest trails</w:t>
            </w:r>
          </w:p>
        </w:tc>
      </w:tr>
      <w:tr>
        <w:tc>
          <w:tcPr>
            <w:tcW w:type="dxa" w:w="2160"/>
          </w:tcPr>
          <w:p>
            <w:r>
              <w:t>Max Concurrent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1–50</w:t>
            </w:r>
          </w:p>
        </w:tc>
        <w:tc>
          <w:tcPr>
            <w:tcW w:type="dxa" w:w="2160"/>
          </w:tcPr>
          <w:p>
            <w:r>
              <w:t>Diversification cap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8"/>
        </w:rPr>
        <w:t>5. Performance Metrics</w:t>
      </w:r>
    </w:p>
    <w:p>
      <w:pPr>
        <w:pStyle w:val="Heading3"/>
      </w:pPr>
      <w:r>
        <w:t>Returns</w:t>
      </w:r>
    </w:p>
    <w:p>
      <w:pPr>
        <w:pStyle w:val="ListBullet"/>
      </w:pPr>
      <w:r>
        <w:t>Total Return: Net P&amp;L as % of starting capital</w:t>
      </w:r>
    </w:p>
    <w:p>
      <w:pPr>
        <w:pStyle w:val="ListBullet"/>
      </w:pPr>
      <w:r>
        <w:t>CAGR: Compound Annual Growth Rate</w:t>
      </w:r>
    </w:p>
    <w:p>
      <w:pPr>
        <w:pStyle w:val="ListBullet"/>
      </w:pPr>
      <w:r>
        <w:t>Monthly Returns Heatmap: Calendar view of monthly performance</w:t>
      </w:r>
    </w:p>
    <w:p>
      <w:pPr>
        <w:pStyle w:val="Heading3"/>
      </w:pPr>
      <w:r>
        <w:t>Risk</w:t>
      </w:r>
    </w:p>
    <w:p>
      <w:pPr>
        <w:pStyle w:val="ListBullet"/>
      </w:pPr>
      <w:r>
        <w:t>Max Drawdown: Largest peak-to-trough decline</w:t>
      </w:r>
    </w:p>
    <w:p>
      <w:pPr>
        <w:pStyle w:val="ListBullet"/>
      </w:pPr>
      <w:r>
        <w:t>Sharpe Ratio: Return per unit of volatility (higher = better)</w:t>
      </w:r>
    </w:p>
    <w:p>
      <w:pPr>
        <w:pStyle w:val="ListBullet"/>
      </w:pPr>
      <w:r>
        <w:t>Sortino Ratio: Return per unit of downside volatility</w:t>
      </w:r>
    </w:p>
    <w:p>
      <w:pPr>
        <w:pStyle w:val="ListBullet"/>
      </w:pPr>
      <w:r>
        <w:t>Annualized Volatility: Daily return std dev × √252</w:t>
      </w:r>
    </w:p>
    <w:p>
      <w:pPr>
        <w:pStyle w:val="Heading3"/>
      </w:pPr>
      <w:r>
        <w:t>Trade Statistics</w:t>
      </w:r>
    </w:p>
    <w:p>
      <w:pPr>
        <w:pStyle w:val="ListBullet"/>
      </w:pPr>
      <w:r>
        <w:t>Total Trades: Number of complete entry-to-exit cycles</w:t>
      </w:r>
    </w:p>
    <w:p>
      <w:pPr>
        <w:pStyle w:val="ListBullet"/>
      </w:pPr>
      <w:r>
        <w:t>Win Rate: % of trades with positive P&amp;L</w:t>
      </w:r>
    </w:p>
    <w:p>
      <w:pPr>
        <w:pStyle w:val="ListBullet"/>
      </w:pPr>
      <w:r>
        <w:t>Profit Factor: (Sum of Wins) / (Sum of Losses) — &gt; 2.0 is strong</w:t>
      </w:r>
    </w:p>
    <w:p>
      <w:pPr>
        <w:pStyle w:val="ListBullet"/>
      </w:pPr>
      <w:r>
        <w:t>Average Trade: Mean P&amp;L per trade</w:t>
      </w:r>
    </w:p>
    <w:p>
      <w:pPr>
        <w:pStyle w:val="Heading3"/>
      </w:pPr>
      <w:r>
        <w:t>Diagnostics</w:t>
      </w:r>
    </w:p>
    <w:p>
      <w:pPr>
        <w:pStyle w:val="ListBullet"/>
      </w:pPr>
      <w:r>
        <w:t>Exit Reason Pie: % of trades via stop, TP, soft exit, or time</w:t>
      </w:r>
    </w:p>
    <w:p>
      <w:pPr>
        <w:pStyle w:val="ListBullet"/>
      </w:pPr>
      <w:r>
        <w:t>MAE/MFE Scatter: Maximum Adverse/Favorable Excursion</w:t>
      </w:r>
    </w:p>
    <w:p>
      <w:pPr>
        <w:pStyle w:val="ListBullet"/>
      </w:pPr>
      <w:r>
        <w:t>Bars Held Distribution: How long positions are held</w:t>
      </w:r>
    </w:p>
    <w:p>
      <w:r>
        <w:br w:type="page"/>
      </w:r>
    </w:p>
    <w:p>
      <w:pPr>
        <w:pStyle w:val="Heading1"/>
      </w:pPr>
      <w:r>
        <w:rPr>
          <w:color w:val="1F4E78"/>
        </w:rPr>
        <w:t>6. Discussion Framework: Strategy Refinement</w:t>
      </w:r>
    </w:p>
    <w:p>
      <w:r>
        <w:t>Use the platform to explore variations collaboratively:</w:t>
      </w:r>
    </w:p>
    <w:p>
      <w:pPr>
        <w:pStyle w:val="Heading2"/>
      </w:pPr>
      <w:r>
        <w:rPr>
          <w:color w:val="2E75B6"/>
        </w:rPr>
        <w:t>Signal Design</w:t>
      </w:r>
    </w:p>
    <w:p>
      <w:pPr>
        <w:pStyle w:val="ListBullet"/>
      </w:pPr>
      <w:r>
        <w:t>Momentum threshold: Is 0.25 optimal? Test 0.15, 0.25, 0.35</w:t>
      </w:r>
    </w:p>
    <w:p>
      <w:pPr>
        <w:pStyle w:val="ListBullet"/>
      </w:pPr>
      <w:r>
        <w:t>Momentum weights: Overweighting 12-month returns? Try equal or recency bias</w:t>
      </w:r>
    </w:p>
    <w:p>
      <w:pPr>
        <w:pStyle w:val="ListBullet"/>
      </w:pPr>
      <w:r>
        <w:t>Trend filter: Is EMA(50,150) too slow? Test EMA(30,90)</w:t>
      </w:r>
    </w:p>
    <w:p>
      <w:pPr>
        <w:pStyle w:val="ListBullet"/>
      </w:pPr>
      <w:r>
        <w:t>Breakout bars: Is 20-bar optimal or test 10/30?</w:t>
      </w:r>
    </w:p>
    <w:p>
      <w:pPr>
        <w:pStyle w:val="Heading2"/>
      </w:pPr>
      <w:r>
        <w:rPr>
          <w:color w:val="2E75B6"/>
        </w:rPr>
        <w:t>Risk Management</w:t>
      </w:r>
    </w:p>
    <w:p>
      <w:pPr>
        <w:pStyle w:val="ListBullet"/>
      </w:pPr>
      <w:r>
        <w:t>Risk %: Increase to 1.0% for aggression or 0.25% for conservatism</w:t>
      </w:r>
    </w:p>
    <w:p>
      <w:pPr>
        <w:pStyle w:val="ListBullet"/>
      </w:pPr>
      <w:r>
        <w:t>Stop placement: Are 2.5 ATR stops too tight or 3.0 ATR trail too loose?</w:t>
      </w:r>
    </w:p>
    <w:p>
      <w:pPr>
        <w:pStyle w:val="ListBullet"/>
      </w:pPr>
      <w:r>
        <w:t>Profit-taking: Try 25%/75% split instead of 50%/50%</w:t>
      </w:r>
    </w:p>
    <w:p>
      <w:pPr>
        <w:pStyle w:val="ListBullet"/>
      </w:pPr>
      <w:r>
        <w:t>Pyramiding: Are 2 add-ons enough? What if we add at every 10-bar breakout?</w:t>
      </w:r>
    </w:p>
    <w:p>
      <w:pPr>
        <w:pStyle w:val="Heading2"/>
      </w:pPr>
      <w:r>
        <w:rPr>
          <w:color w:val="2E75B6"/>
        </w:rPr>
        <w:t>Portfolio Structure</w:t>
      </w:r>
    </w:p>
    <w:p>
      <w:pPr>
        <w:pStyle w:val="ListBullet"/>
      </w:pPr>
      <w:r>
        <w:t>Diversification: Compare SMOKE_TEST (5 stocks) vs. SP100 (100) — impact on Sharpe?</w:t>
      </w:r>
    </w:p>
    <w:p>
      <w:pPr>
        <w:pStyle w:val="ListBullet"/>
      </w:pPr>
      <w:r>
        <w:t>Vol target: Increase to 20% for more leverage or drop to 10% for stability</w:t>
      </w:r>
    </w:p>
    <w:p>
      <w:pPr>
        <w:pStyle w:val="ListBullet"/>
      </w:pPr>
      <w:r>
        <w:t>Gross cap: Test 100% vs. 150% vs. 200% leverage scenarios</w:t>
      </w:r>
    </w:p>
    <w:p>
      <w:pPr>
        <w:pStyle w:val="ListBullet"/>
      </w:pPr>
      <w:r>
        <w:t>Max concurrent: Try 10 vs. 20 vs. 30 to optimize concentration/diversification</w:t>
      </w:r>
    </w:p>
    <w:p>
      <w:r>
        <w:br w:type="page"/>
      </w:r>
    </w:p>
    <w:p>
      <w:pPr>
        <w:pStyle w:val="Heading1"/>
      </w:pPr>
      <w:r>
        <w:rPr>
          <w:color w:val="1F4E78"/>
        </w:rPr>
        <w:t>7. Phase 2 Roadmap: Live Signal Delivery</w:t>
      </w:r>
    </w:p>
    <w:p>
      <w:pPr>
        <w:pStyle w:val="Heading2"/>
      </w:pPr>
      <w:r>
        <w:rPr>
          <w:color w:val="2E75B6"/>
        </w:rPr>
        <w:t>Live Workflow</w:t>
      </w:r>
    </w:p>
    <w:p>
      <w:pPr>
        <w:pStyle w:val="ListNumber"/>
      </w:pPr>
      <w:r>
        <w:t>Daily at 16:30 ET: Pull latest EOD data from FMP</w:t>
      </w:r>
    </w:p>
    <w:p>
      <w:pPr>
        <w:pStyle w:val="ListNumber"/>
      </w:pPr>
      <w:r>
        <w:t>Compute momentum signals for 100-stock universe</w:t>
      </w:r>
    </w:p>
    <w:p>
      <w:pPr>
        <w:pStyle w:val="ListNumber"/>
      </w:pPr>
      <w:r>
        <w:t>For each NEW signal: send to Claude API for analysis</w:t>
      </w:r>
    </w:p>
    <w:p>
      <w:pPr>
        <w:pStyle w:val="ListNumber"/>
      </w:pPr>
      <w:r>
        <w:t>Claude generates 2–3 sentence breakdown of the signal</w:t>
      </w:r>
    </w:p>
    <w:p>
      <w:pPr>
        <w:pStyle w:val="ListNumber"/>
      </w:pPr>
      <w:r>
        <w:t>Deliver signal + analysis to Telegram channel</w:t>
      </w:r>
    </w:p>
    <w:p>
      <w:pPr>
        <w:pStyle w:val="Heading2"/>
      </w:pPr>
      <w:r>
        <w:rPr>
          <w:color w:val="2E75B6"/>
        </w:rPr>
        <w:t>Components</w:t>
      </w:r>
    </w:p>
    <w:p>
      <w:pPr>
        <w:pStyle w:val="ListBullet"/>
      </w:pPr>
      <w:r>
        <w:t>Live runner: Reuses backtest engine, enforces no look-ahead</w:t>
      </w:r>
    </w:p>
    <w:p>
      <w:pPr>
        <w:pStyle w:val="ListBullet"/>
      </w:pPr>
      <w:r>
        <w:t>Claude API integration: Sends signal context, receives analysis</w:t>
      </w:r>
    </w:p>
    <w:p>
      <w:pPr>
        <w:pStyle w:val="ListBullet"/>
      </w:pPr>
      <w:r>
        <w:t>Telegram bot: Delivers formatted messages to your channel</w:t>
      </w:r>
    </w:p>
    <w:p>
      <w:pPr>
        <w:pStyle w:val="ListBullet"/>
      </w:pPr>
      <w:r>
        <w:t>APScheduler: Runs job daily at 16:30 ET (market close)</w:t>
      </w:r>
    </w:p>
    <w:p>
      <w:pPr>
        <w:pStyle w:val="Heading2"/>
      </w:pPr>
      <w:r>
        <w:rPr>
          <w:color w:val="2E75B6"/>
        </w:rPr>
        <w:t>Timeline &amp; Effort</w:t>
      </w:r>
    </w:p>
    <w:p>
      <w:r>
        <w:t>Estimated ~4–5 hours of development:</w:t>
      </w:r>
    </w:p>
    <w:p>
      <w:pPr>
        <w:pStyle w:val="ListBullet"/>
      </w:pPr>
      <w:r>
        <w:t>1–2 hours: Live runner + signal filtering</w:t>
      </w:r>
    </w:p>
    <w:p>
      <w:pPr>
        <w:pStyle w:val="ListBullet"/>
      </w:pPr>
      <w:r>
        <w:t>30 min: Claude API integration</w:t>
      </w:r>
    </w:p>
    <w:p>
      <w:pPr>
        <w:pStyle w:val="ListBullet"/>
      </w:pPr>
      <w:r>
        <w:t>30 min: Telegram bot setup and creation</w:t>
      </w:r>
    </w:p>
    <w:p>
      <w:pPr>
        <w:pStyle w:val="ListBullet"/>
      </w:pPr>
      <w:r>
        <w:t>30 min: APScheduler configuration</w:t>
      </w:r>
    </w:p>
    <w:p>
      <w:pPr>
        <w:pStyle w:val="ListBullet"/>
      </w:pPr>
      <w:r>
        <w:t>1 hour: End-to-end testing + Telegram bot creation</w:t>
      </w:r>
    </w:p>
    <w:p>
      <w:r>
        <w:br w:type="page"/>
      </w:r>
    </w:p>
    <w:p>
      <w:pPr>
        <w:pStyle w:val="Heading1"/>
      </w:pPr>
      <w:r>
        <w:rPr>
          <w:color w:val="1F4E78"/>
        </w:rPr>
        <w:t>8. Risk Disclosures &amp; Disclaimers</w:t>
      </w:r>
    </w:p>
    <w:p>
      <w:pPr>
        <w:pStyle w:val="Heading2"/>
      </w:pPr>
      <w:r>
        <w:rPr>
          <w:color w:val="2E75B6"/>
        </w:rPr>
        <w:t>Backtesting Limitations</w:t>
      </w:r>
    </w:p>
    <w:p>
      <w:pPr>
        <w:pStyle w:val="ListBullet"/>
      </w:pPr>
      <w:r>
        <w:t>Past performance does not guarantee future results.</w:t>
      </w:r>
    </w:p>
    <w:p>
      <w:pPr>
        <w:pStyle w:val="ListBullet"/>
      </w:pPr>
      <w:r>
        <w:t>Slippage &amp; commissions modeled at 0.1% + $0.005/share.</w:t>
      </w:r>
    </w:p>
    <w:p>
      <w:pPr>
        <w:pStyle w:val="ListBullet"/>
      </w:pPr>
      <w:r>
        <w:t>Engine uses close-of-bar signals with next-bar entry; real execution differs.</w:t>
      </w:r>
    </w:p>
    <w:p>
      <w:pPr>
        <w:pStyle w:val="ListBullet"/>
      </w:pPr>
      <w:r>
        <w:t>Dividends &amp; splits adjusted in historical data; live timing may differ.</w:t>
      </w:r>
    </w:p>
    <w:p>
      <w:pPr>
        <w:pStyle w:val="Heading2"/>
      </w:pPr>
      <w:r>
        <w:rPr>
          <w:color w:val="2E75B6"/>
        </w:rPr>
        <w:t>Strategy-Specific Risks</w:t>
      </w:r>
    </w:p>
    <w:p>
      <w:pPr>
        <w:pStyle w:val="ListBullet"/>
      </w:pPr>
      <w:r>
        <w:t>Trend-following strategies lag in reversals and mean-reverting markets.</w:t>
      </w:r>
    </w:p>
    <w:p>
      <w:pPr>
        <w:pStyle w:val="ListBullet"/>
      </w:pPr>
      <w:r>
        <w:t>Vol-normalized scoring underperforms in persistently low-volatility periods.</w:t>
      </w:r>
    </w:p>
    <w:p>
      <w:pPr>
        <w:pStyle w:val="ListBullet"/>
      </w:pPr>
      <w:r>
        <w:t>Max 20 concurrent positions means concentrated risk (~5% per trade on 100-stock universe).</w:t>
      </w:r>
    </w:p>
    <w:p>
      <w:pPr>
        <w:pStyle w:val="ListBullet"/>
      </w:pPr>
      <w:r>
        <w:t>Tight stops can whipsaw on normal intrabar noise.</w:t>
      </w:r>
    </w:p>
    <w:p>
      <w:pPr>
        <w:pStyle w:val="Heading2"/>
      </w:pPr>
      <w:r>
        <w:rPr>
          <w:color w:val="2E75B6"/>
        </w:rPr>
        <w:t>Operational Risks</w:t>
      </w:r>
    </w:p>
    <w:p>
      <w:pPr>
        <w:pStyle w:val="ListBullet"/>
      </w:pPr>
      <w:r>
        <w:t>FMP data quality: stale or erroneous data during market dislocations.</w:t>
      </w:r>
    </w:p>
    <w:p>
      <w:pPr>
        <w:pStyle w:val="ListBullet"/>
      </w:pPr>
      <w:r>
        <w:t>System outages: depends on FMP API availability and Telegram bot connectivity.</w:t>
      </w:r>
    </w:p>
    <w:p>
      <w:pPr>
        <w:pStyle w:val="ListBullet"/>
      </w:pPr>
      <w:r>
        <w:t>Parameter overfitting: parameters optimized to historical data underperform forward.</w:t>
      </w:r>
    </w:p>
    <w:p>
      <w:pPr>
        <w:pStyle w:val="Heading2"/>
      </w:pPr>
      <w:r>
        <w:rPr>
          <w:color w:val="2E75B6"/>
        </w:rPr>
        <w:t>Regulatory &amp; Tax</w:t>
      </w:r>
    </w:p>
    <w:p>
      <w:pPr>
        <w:pStyle w:val="ListBullet"/>
      </w:pPr>
      <w:r>
        <w:t>This is NOT investment advice. Consult a financial advisor and tax professional.</w:t>
      </w:r>
    </w:p>
    <w:p>
      <w:pPr>
        <w:pStyle w:val="ListBullet"/>
      </w:pPr>
      <w:r>
        <w:t>Short-term trading may incur substantial tax liability depending on jurisdiction.</w:t>
      </w:r>
    </w:p>
    <w:p/>
    <w:p>
      <w:pPr>
        <w:pStyle w:val="IntenseQuote"/>
      </w:pPr>
      <w:r>
        <w:t>This research platform is provided as-is for educational and research purposes. The authors disclaim any liability for trading losses.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