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8586" w14:textId="719A98B9" w:rsidR="00DC5689" w:rsidRDefault="00DC5689">
      <w:pPr>
        <w:jc w:val="center"/>
        <w:rPr>
          <w:b/>
          <w:lang w:val="ru-RU"/>
        </w:rPr>
      </w:pPr>
      <w:r>
        <w:rPr>
          <w:noProof/>
        </w:rPr>
        <w:drawing>
          <wp:inline distT="0" distB="0" distL="0" distR="0" wp14:anchorId="52E1E56C" wp14:editId="3F2B2F95">
            <wp:extent cx="2828925" cy="447675"/>
            <wp:effectExtent l="0" t="0" r="9525" b="9525"/>
            <wp:docPr id="153676" name="Рисунок 1">
              <a:extLst xmlns:a="http://schemas.openxmlformats.org/drawingml/2006/main">
                <a:ext uri="{FF2B5EF4-FFF2-40B4-BE49-F238E27FC236}">
                  <a16:creationId xmlns:a16="http://schemas.microsoft.com/office/drawing/2014/main" id="{D18FA67A-4A94-4814-30E3-3F9306E41A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6" name="Рисунок 1">
                      <a:extLst>
                        <a:ext uri="{FF2B5EF4-FFF2-40B4-BE49-F238E27FC236}">
                          <a16:creationId xmlns:a16="http://schemas.microsoft.com/office/drawing/2014/main" id="{D18FA67A-4A94-4814-30E3-3F9306E41A4F}"/>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89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353F952C" w14:textId="62DD31E1" w:rsidR="008E51D7" w:rsidRDefault="00DC5689">
      <w:pPr>
        <w:jc w:val="center"/>
      </w:pPr>
      <w:r>
        <w:rPr>
          <w:b/>
        </w:rPr>
        <w:t>Investor Statement</w:t>
      </w:r>
      <w:r>
        <w:rPr>
          <w:b/>
        </w:rPr>
        <w:br/>
      </w:r>
      <w:r>
        <w:t>Algo Alliance Umbrella Fund OEIC Limited</w:t>
      </w:r>
      <w:r w:rsidR="00582FE2">
        <w:t xml:space="preserve"> </w:t>
      </w:r>
      <w:r>
        <w:t>Sub-Fund G</w:t>
      </w:r>
      <w:r>
        <w:br/>
        <w:t>Reporting Date: 3</w:t>
      </w:r>
      <w:r w:rsidR="00996BB7">
        <w:t>1</w:t>
      </w:r>
      <w:r>
        <w:t xml:space="preserve"> </w:t>
      </w:r>
      <w:r w:rsidR="005172E4">
        <w:t xml:space="preserve">August </w:t>
      </w:r>
      <w:r>
        <w:t>2026</w:t>
      </w:r>
    </w:p>
    <w:p w14:paraId="634A8004" w14:textId="77777777" w:rsidR="008E51D7" w:rsidRDefault="00DC5689">
      <w:pPr>
        <w:pStyle w:val="21"/>
      </w:pPr>
      <w:r>
        <w:t>Executive Summary</w:t>
      </w:r>
    </w:p>
    <w:tbl>
      <w:tblPr>
        <w:tblW w:w="0" w:type="auto"/>
        <w:tblLook w:val="04A0" w:firstRow="1" w:lastRow="0" w:firstColumn="1" w:lastColumn="0" w:noHBand="0" w:noVBand="1"/>
      </w:tblPr>
      <w:tblGrid>
        <w:gridCol w:w="4320"/>
        <w:gridCol w:w="4320"/>
      </w:tblGrid>
      <w:tr w:rsidR="008E51D7" w14:paraId="356D4ED4" w14:textId="77777777">
        <w:tc>
          <w:tcPr>
            <w:tcW w:w="4320" w:type="dxa"/>
          </w:tcPr>
          <w:p w14:paraId="3C1DFAC9" w14:textId="77777777" w:rsidR="008E51D7" w:rsidRDefault="00DC5689">
            <w:r>
              <w:t>Indicator</w:t>
            </w:r>
          </w:p>
        </w:tc>
        <w:tc>
          <w:tcPr>
            <w:tcW w:w="4320" w:type="dxa"/>
          </w:tcPr>
          <w:p w14:paraId="652AC8FC" w14:textId="77777777" w:rsidR="008E51D7" w:rsidRDefault="00DC5689">
            <w:r>
              <w:t>Value</w:t>
            </w:r>
          </w:p>
        </w:tc>
      </w:tr>
      <w:tr w:rsidR="005172E4" w14:paraId="33AD6815" w14:textId="77777777">
        <w:tc>
          <w:tcPr>
            <w:tcW w:w="4320" w:type="dxa"/>
          </w:tcPr>
          <w:p w14:paraId="3D75E858" w14:textId="77777777" w:rsidR="005172E4" w:rsidRDefault="005172E4" w:rsidP="005172E4">
            <w:r>
              <w:t>Total Assets</w:t>
            </w:r>
          </w:p>
        </w:tc>
        <w:tc>
          <w:tcPr>
            <w:tcW w:w="4320" w:type="dxa"/>
          </w:tcPr>
          <w:p w14:paraId="6F5F3CD3" w14:textId="2E6EC0DD" w:rsidR="005172E4" w:rsidRDefault="005172E4" w:rsidP="005172E4">
            <w:r>
              <w:t>USD 5,540,835.25</w:t>
            </w:r>
          </w:p>
        </w:tc>
      </w:tr>
      <w:tr w:rsidR="005172E4" w14:paraId="0D11A629" w14:textId="77777777">
        <w:tc>
          <w:tcPr>
            <w:tcW w:w="4320" w:type="dxa"/>
          </w:tcPr>
          <w:p w14:paraId="1E7ECA2B" w14:textId="77777777" w:rsidR="005172E4" w:rsidRDefault="005172E4" w:rsidP="005172E4">
            <w:r>
              <w:t>Net Asset Value (NAV)</w:t>
            </w:r>
          </w:p>
        </w:tc>
        <w:tc>
          <w:tcPr>
            <w:tcW w:w="4320" w:type="dxa"/>
          </w:tcPr>
          <w:p w14:paraId="011E939D" w14:textId="42446398" w:rsidR="005172E4" w:rsidRDefault="005172E4" w:rsidP="005172E4">
            <w:r>
              <w:t>USD 5,512,541.19</w:t>
            </w:r>
          </w:p>
        </w:tc>
      </w:tr>
      <w:tr w:rsidR="005172E4" w14:paraId="6EE163FD" w14:textId="77777777">
        <w:tc>
          <w:tcPr>
            <w:tcW w:w="4320" w:type="dxa"/>
          </w:tcPr>
          <w:p w14:paraId="7920283E" w14:textId="77777777" w:rsidR="005172E4" w:rsidRDefault="005172E4" w:rsidP="005172E4">
            <w:r>
              <w:t>Expenses</w:t>
            </w:r>
          </w:p>
        </w:tc>
        <w:tc>
          <w:tcPr>
            <w:tcW w:w="4320" w:type="dxa"/>
          </w:tcPr>
          <w:p w14:paraId="61B4C473" w14:textId="253EABA3" w:rsidR="005172E4" w:rsidRDefault="005172E4" w:rsidP="005172E4">
            <w:r>
              <w:t>USD 28,294.06</w:t>
            </w:r>
          </w:p>
        </w:tc>
      </w:tr>
      <w:tr w:rsidR="005172E4" w14:paraId="7C837DC7" w14:textId="77777777">
        <w:tc>
          <w:tcPr>
            <w:tcW w:w="4320" w:type="dxa"/>
          </w:tcPr>
          <w:p w14:paraId="1754F05C" w14:textId="7A523E9D" w:rsidR="005172E4" w:rsidRDefault="005172E4" w:rsidP="005172E4">
            <w:r>
              <w:t>NAV per Unit (31 July 2026)</w:t>
            </w:r>
          </w:p>
        </w:tc>
        <w:tc>
          <w:tcPr>
            <w:tcW w:w="4320" w:type="dxa"/>
          </w:tcPr>
          <w:p w14:paraId="3095C3C1" w14:textId="14B15A20" w:rsidR="005172E4" w:rsidRDefault="005172E4" w:rsidP="005172E4">
            <w:r>
              <w:t>USD 53.82</w:t>
            </w:r>
          </w:p>
        </w:tc>
      </w:tr>
      <w:tr w:rsidR="005172E4" w14:paraId="087D57C3" w14:textId="77777777">
        <w:tc>
          <w:tcPr>
            <w:tcW w:w="4320" w:type="dxa"/>
          </w:tcPr>
          <w:p w14:paraId="5B7D441C" w14:textId="77777777" w:rsidR="005172E4" w:rsidRDefault="005172E4" w:rsidP="005172E4">
            <w:r>
              <w:t>Monthly Growth</w:t>
            </w:r>
          </w:p>
        </w:tc>
        <w:tc>
          <w:tcPr>
            <w:tcW w:w="4320" w:type="dxa"/>
          </w:tcPr>
          <w:p w14:paraId="6FAADA15" w14:textId="6202558F" w:rsidR="005172E4" w:rsidRDefault="005172E4" w:rsidP="005172E4">
            <w:r>
              <w:t>+0</w:t>
            </w:r>
            <w:r>
              <w:rPr>
                <w:lang w:val="ru-RU"/>
              </w:rPr>
              <w:t>,</w:t>
            </w:r>
            <w:r>
              <w:t>54%</w:t>
            </w:r>
          </w:p>
        </w:tc>
      </w:tr>
    </w:tbl>
    <w:p w14:paraId="4B9C7854" w14:textId="77777777" w:rsidR="008E51D7" w:rsidRDefault="00DC5689">
      <w:pPr>
        <w:pStyle w:val="21"/>
      </w:pPr>
      <w:r>
        <w:t>Investor Position</w:t>
      </w:r>
    </w:p>
    <w:tbl>
      <w:tblPr>
        <w:tblW w:w="0" w:type="auto"/>
        <w:tblLook w:val="04A0" w:firstRow="1" w:lastRow="0" w:firstColumn="1" w:lastColumn="0" w:noHBand="0" w:noVBand="1"/>
      </w:tblPr>
      <w:tblGrid>
        <w:gridCol w:w="4320"/>
        <w:gridCol w:w="4320"/>
      </w:tblGrid>
      <w:tr w:rsidR="008E51D7" w14:paraId="5A177FA1" w14:textId="77777777">
        <w:tc>
          <w:tcPr>
            <w:tcW w:w="4320" w:type="dxa"/>
          </w:tcPr>
          <w:p w14:paraId="4CC119F6" w14:textId="77777777" w:rsidR="008E51D7" w:rsidRDefault="00DC5689">
            <w:r>
              <w:t>Description</w:t>
            </w:r>
          </w:p>
        </w:tc>
        <w:tc>
          <w:tcPr>
            <w:tcW w:w="4320" w:type="dxa"/>
          </w:tcPr>
          <w:p w14:paraId="270DDE57" w14:textId="77777777" w:rsidR="008E51D7" w:rsidRDefault="00DC5689">
            <w:r>
              <w:t>Value</w:t>
            </w:r>
          </w:p>
        </w:tc>
      </w:tr>
      <w:tr w:rsidR="008E51D7" w14:paraId="6CECF043" w14:textId="77777777">
        <w:tc>
          <w:tcPr>
            <w:tcW w:w="4320" w:type="dxa"/>
          </w:tcPr>
          <w:p w14:paraId="52881D07" w14:textId="77777777" w:rsidR="008E51D7" w:rsidRDefault="00DC5689">
            <w:r>
              <w:t>Investor</w:t>
            </w:r>
          </w:p>
        </w:tc>
        <w:tc>
          <w:tcPr>
            <w:tcW w:w="4320" w:type="dxa"/>
          </w:tcPr>
          <w:p w14:paraId="4ACE71B4" w14:textId="77777777" w:rsidR="008E51D7" w:rsidRDefault="00DC5689">
            <w:r>
              <w:t>Dmitry Surkov</w:t>
            </w:r>
          </w:p>
        </w:tc>
      </w:tr>
      <w:tr w:rsidR="008E51D7" w14:paraId="5C67C025" w14:textId="77777777">
        <w:tc>
          <w:tcPr>
            <w:tcW w:w="4320" w:type="dxa"/>
          </w:tcPr>
          <w:p w14:paraId="58CA2D6E" w14:textId="77777777" w:rsidR="008E51D7" w:rsidRDefault="00DC5689">
            <w:r>
              <w:t>Subscription Amount</w:t>
            </w:r>
          </w:p>
        </w:tc>
        <w:tc>
          <w:tcPr>
            <w:tcW w:w="4320" w:type="dxa"/>
          </w:tcPr>
          <w:p w14:paraId="5F3DAECC" w14:textId="77777777" w:rsidR="008E51D7" w:rsidRDefault="00DC5689">
            <w:r>
              <w:t>USD 199,985.00</w:t>
            </w:r>
          </w:p>
        </w:tc>
      </w:tr>
      <w:tr w:rsidR="008E51D7" w14:paraId="2B247F10" w14:textId="77777777">
        <w:tc>
          <w:tcPr>
            <w:tcW w:w="4320" w:type="dxa"/>
          </w:tcPr>
          <w:p w14:paraId="134324D5" w14:textId="77777777" w:rsidR="008E51D7" w:rsidRDefault="00DC5689">
            <w:r>
              <w:t>Subscription NAV</w:t>
            </w:r>
          </w:p>
        </w:tc>
        <w:tc>
          <w:tcPr>
            <w:tcW w:w="4320" w:type="dxa"/>
          </w:tcPr>
          <w:p w14:paraId="11E8CD9B" w14:textId="77777777" w:rsidR="008E51D7" w:rsidRDefault="00DC5689">
            <w:r>
              <w:t>USD 49.24</w:t>
            </w:r>
          </w:p>
        </w:tc>
      </w:tr>
      <w:tr w:rsidR="008E51D7" w14:paraId="6E70C738" w14:textId="77777777">
        <w:tc>
          <w:tcPr>
            <w:tcW w:w="4320" w:type="dxa"/>
          </w:tcPr>
          <w:p w14:paraId="322B54CA" w14:textId="77777777" w:rsidR="008E51D7" w:rsidRDefault="00DC5689">
            <w:r>
              <w:t>Fund Units</w:t>
            </w:r>
          </w:p>
        </w:tc>
        <w:tc>
          <w:tcPr>
            <w:tcW w:w="4320" w:type="dxa"/>
          </w:tcPr>
          <w:p w14:paraId="4360AA44" w14:textId="77777777" w:rsidR="008E51D7" w:rsidRDefault="00DC5689">
            <w:r>
              <w:t>4,061.36</w:t>
            </w:r>
          </w:p>
        </w:tc>
      </w:tr>
      <w:tr w:rsidR="008E51D7" w14:paraId="4E9773DD" w14:textId="77777777">
        <w:tc>
          <w:tcPr>
            <w:tcW w:w="4320" w:type="dxa"/>
          </w:tcPr>
          <w:p w14:paraId="7797AB59" w14:textId="77777777" w:rsidR="008E51D7" w:rsidRDefault="00DC5689">
            <w:r>
              <w:t>Current NAV per Unit</w:t>
            </w:r>
          </w:p>
        </w:tc>
        <w:tc>
          <w:tcPr>
            <w:tcW w:w="4320" w:type="dxa"/>
          </w:tcPr>
          <w:p w14:paraId="109566DA" w14:textId="4FDBFDA4" w:rsidR="008E51D7" w:rsidRDefault="00DC5689">
            <w:r>
              <w:t xml:space="preserve">USD </w:t>
            </w:r>
            <w:r w:rsidR="00996BB7">
              <w:t>53</w:t>
            </w:r>
            <w:r>
              <w:t>.</w:t>
            </w:r>
            <w:r w:rsidR="005172E4">
              <w:t>8</w:t>
            </w:r>
            <w:r w:rsidR="00996BB7">
              <w:t>2</w:t>
            </w:r>
          </w:p>
        </w:tc>
      </w:tr>
      <w:tr w:rsidR="008E51D7" w14:paraId="0A6ACE6E" w14:textId="77777777">
        <w:tc>
          <w:tcPr>
            <w:tcW w:w="4320" w:type="dxa"/>
          </w:tcPr>
          <w:p w14:paraId="2344C7BE" w14:textId="77777777" w:rsidR="008E51D7" w:rsidRDefault="00DC5689">
            <w:r>
              <w:t>Current Investment Value</w:t>
            </w:r>
          </w:p>
        </w:tc>
        <w:tc>
          <w:tcPr>
            <w:tcW w:w="4320" w:type="dxa"/>
          </w:tcPr>
          <w:p w14:paraId="20AF916D" w14:textId="2A90280F" w:rsidR="008E51D7" w:rsidRDefault="00DC5689">
            <w:r>
              <w:t xml:space="preserve">USD </w:t>
            </w:r>
            <w:r w:rsidR="005172E4">
              <w:t>218 562.52</w:t>
            </w:r>
          </w:p>
        </w:tc>
      </w:tr>
      <w:tr w:rsidR="008E51D7" w14:paraId="0A6ACE6E" w14:textId="77777777">
        <w:tc>
          <w:tcPr>
            <w:tcW w:w="4320" w:type="dxa"/>
          </w:tcPr>
          <w:p w14:paraId="2344C7BE" w14:textId="77777777" w:rsidR="008E51D7" w:rsidRDefault="00DC5689">
            <w:r>
              <w:t xml:space="preserve">Income for August 2026</w:t>
            </w:r>
          </w:p>
        </w:tc>
        <w:tc>
          <w:tcPr>
            <w:tcW w:w="4320" w:type="dxa"/>
          </w:tcPr>
          <w:p w14:paraId="20AF916D" w14:textId="2A90280F" w:rsidR="008E51D7" w:rsidRDefault="00DC5689">
            <w:r>
              <w:rPr>
                <w:color w:val="1E7B34"/>
                <w:b/>
              </w:rPr>
              <w:t xml:space="preserve">+USD 1 182,30  (+0,54%)</w:t>
            </w:r>
          </w:p>
        </w:tc>
      </w:tr>
      <w:tr w:rsidR="008E51D7" w14:paraId="0A6ACE6E" w14:textId="77777777">
        <w:tc>
          <w:tcPr>
            <w:tcW w:w="4320" w:type="dxa"/>
          </w:tcPr>
          <w:p w14:paraId="2344C7BE" w14:textId="77777777" w:rsidR="008E51D7" w:rsidRDefault="00DC5689">
            <w:r>
              <w:t xml:space="preserve">Total Income since Subscription (04 May 2026)</w:t>
            </w:r>
          </w:p>
        </w:tc>
        <w:tc>
          <w:tcPr>
            <w:tcW w:w="4320" w:type="dxa"/>
          </w:tcPr>
          <w:p w14:paraId="20AF916D" w14:textId="2A90280F" w:rsidR="008E51D7" w:rsidRDefault="00DC5689">
            <w:r>
              <w:rPr>
                <w:color w:val="1E7B34"/>
                <w:b/>
              </w:rPr>
              <w:t xml:space="preserve">+USD 18 577,52  (+9,29%)</w:t>
            </w:r>
          </w:p>
        </w:tc>
      </w:tr>
    </w:tbl>
    <w:p w14:paraId="13680D42" w14:textId="77777777" w:rsidR="005172E4" w:rsidRDefault="005172E4" w:rsidP="005172E4">
      <w:pPr>
        <w:pStyle w:val="21"/>
      </w:pPr>
      <w:r>
        <w:t>Manager's Commentary</w:t>
      </w:r>
    </w:p>
    <w:p w14:paraId="19D16283" w14:textId="77777777" w:rsidR="005172E4" w:rsidRPr="005172E4" w:rsidRDefault="005172E4" w:rsidP="005172E4">
      <w:pPr>
        <w:pStyle w:val="21"/>
        <w:spacing w:before="0"/>
        <w:rPr>
          <w:rFonts w:asciiTheme="minorHAnsi" w:eastAsiaTheme="minorEastAsia" w:hAnsiTheme="minorHAnsi" w:cstheme="minorBidi"/>
          <w:b w:val="0"/>
          <w:bCs w:val="0"/>
          <w:color w:val="auto"/>
          <w:sz w:val="22"/>
          <w:szCs w:val="22"/>
        </w:rPr>
      </w:pPr>
      <w:r w:rsidRPr="00FF7CD5">
        <w:rPr>
          <w:rFonts w:asciiTheme="minorHAnsi" w:eastAsiaTheme="minorEastAsia" w:hAnsiTheme="minorHAnsi" w:cstheme="minorBidi"/>
          <w:b w:val="0"/>
          <w:bCs w:val="0"/>
          <w:color w:val="auto"/>
          <w:sz w:val="22"/>
          <w:szCs w:val="22"/>
        </w:rPr>
        <w:t xml:space="preserve">During </w:t>
      </w:r>
      <w:r>
        <w:rPr>
          <w:rFonts w:asciiTheme="minorHAnsi" w:eastAsiaTheme="minorEastAsia" w:hAnsiTheme="minorHAnsi" w:cstheme="minorBidi"/>
          <w:b w:val="0"/>
          <w:bCs w:val="0"/>
          <w:color w:val="auto"/>
          <w:sz w:val="22"/>
          <w:szCs w:val="22"/>
        </w:rPr>
        <w:t>August</w:t>
      </w:r>
      <w:r w:rsidRPr="00FF7CD5">
        <w:rPr>
          <w:rFonts w:asciiTheme="minorHAnsi" w:eastAsiaTheme="minorEastAsia" w:hAnsiTheme="minorHAnsi" w:cstheme="minorBidi"/>
          <w:b w:val="0"/>
          <w:bCs w:val="0"/>
          <w:color w:val="auto"/>
          <w:sz w:val="22"/>
          <w:szCs w:val="22"/>
        </w:rPr>
        <w:t xml:space="preserve"> 2026, </w:t>
      </w:r>
      <w:r w:rsidRPr="00F10F98">
        <w:rPr>
          <w:rFonts w:asciiTheme="minorHAnsi" w:eastAsiaTheme="minorEastAsia" w:hAnsiTheme="minorHAnsi" w:cstheme="minorBidi"/>
          <w:b w:val="0"/>
          <w:bCs w:val="0"/>
          <w:color w:val="auto"/>
          <w:sz w:val="22"/>
          <w:szCs w:val="22"/>
        </w:rPr>
        <w:t>the Fund continued to demonstrate positive performance, with its asset base increasing during the reporting period. As of 31 July 2026, the Fund's total assets amounted to USD 5.54 million, while Net Asset Value (NAV) reached USD 5.51 million.</w:t>
      </w:r>
    </w:p>
    <w:p w14:paraId="10BD04A6" w14:textId="77777777" w:rsidR="005172E4" w:rsidRPr="005172E4" w:rsidRDefault="005172E4" w:rsidP="005172E4"/>
    <w:p w14:paraId="3E680B9A" w14:textId="77777777" w:rsidR="005172E4" w:rsidRPr="00800610" w:rsidRDefault="005172E4" w:rsidP="005172E4">
      <w:pPr>
        <w:pStyle w:val="21"/>
        <w:spacing w:before="0"/>
        <w:rPr>
          <w:rFonts w:asciiTheme="minorHAnsi" w:eastAsiaTheme="minorEastAsia" w:hAnsiTheme="minorHAnsi" w:cstheme="minorBidi"/>
          <w:b w:val="0"/>
          <w:bCs w:val="0"/>
          <w:color w:val="auto"/>
          <w:sz w:val="22"/>
          <w:szCs w:val="22"/>
        </w:rPr>
      </w:pPr>
      <w:r w:rsidRPr="00FF7CD5">
        <w:rPr>
          <w:rFonts w:asciiTheme="minorHAnsi" w:eastAsiaTheme="minorEastAsia" w:hAnsiTheme="minorHAnsi" w:cstheme="minorBidi"/>
          <w:b w:val="0"/>
          <w:bCs w:val="0"/>
          <w:color w:val="auto"/>
          <w:sz w:val="22"/>
          <w:szCs w:val="22"/>
        </w:rPr>
        <w:t xml:space="preserve">During the reporting period, the Fund generated a positive return of approximately </w:t>
      </w:r>
      <w:r w:rsidRPr="00F10F98">
        <w:rPr>
          <w:rFonts w:asciiTheme="minorHAnsi" w:eastAsiaTheme="minorEastAsia" w:hAnsiTheme="minorHAnsi" w:cstheme="minorBidi"/>
          <w:b w:val="0"/>
          <w:bCs w:val="0"/>
          <w:color w:val="auto"/>
          <w:sz w:val="22"/>
          <w:szCs w:val="22"/>
        </w:rPr>
        <w:t>0,54</w:t>
      </w:r>
      <w:r w:rsidRPr="00FF7CD5">
        <w:rPr>
          <w:rFonts w:asciiTheme="minorHAnsi" w:eastAsiaTheme="minorEastAsia" w:hAnsiTheme="minorHAnsi" w:cstheme="minorBidi"/>
          <w:b w:val="0"/>
          <w:bCs w:val="0"/>
          <w:color w:val="auto"/>
          <w:sz w:val="22"/>
          <w:szCs w:val="22"/>
        </w:rPr>
        <w:t>% based on the change in Net Asset Value before taking into account the effect of the new subscription received during the month.</w:t>
      </w:r>
    </w:p>
    <w:p w14:paraId="3891EEBC" w14:textId="77777777" w:rsidR="005172E4" w:rsidRDefault="005172E4" w:rsidP="005172E4">
      <w:pPr>
        <w:pStyle w:val="21"/>
      </w:pPr>
      <w:r>
        <w:t>Disclaimer</w:t>
      </w:r>
    </w:p>
    <w:p w14:paraId="51806954" w14:textId="77777777" w:rsidR="005172E4" w:rsidRDefault="005172E4" w:rsidP="005172E4">
      <w:r>
        <w:t>This statement has been prepared by Neomarkets Ltd for informational purposes only and reflects the Fund valuation as of 31 August 2026.</w:t>
      </w:r>
    </w:p>
    <w:p w14:paraId="0EC60424" w14:textId="0C2C1D2D" w:rsidR="008E51D7" w:rsidRDefault="008E51D7" w:rsidP="005172E4">
      <w:pPr>
        <w:pStyle w:val="21"/>
      </w:pPr>
    </w:p>
    <w:sectPr w:rsidR="008E51D7" w:rsidSect="00582FE2">
      <w:pgSz w:w="12240" w:h="15840"/>
      <w:pgMar w:top="426" w:right="1800" w:bottom="42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3565864">
    <w:abstractNumId w:val="8"/>
  </w:num>
  <w:num w:numId="2" w16cid:durableId="1347823821">
    <w:abstractNumId w:val="6"/>
  </w:num>
  <w:num w:numId="3" w16cid:durableId="400297083">
    <w:abstractNumId w:val="5"/>
  </w:num>
  <w:num w:numId="4" w16cid:durableId="583300001">
    <w:abstractNumId w:val="4"/>
  </w:num>
  <w:num w:numId="5" w16cid:durableId="1648707511">
    <w:abstractNumId w:val="7"/>
  </w:num>
  <w:num w:numId="6" w16cid:durableId="204951910">
    <w:abstractNumId w:val="3"/>
  </w:num>
  <w:num w:numId="7" w16cid:durableId="1525049380">
    <w:abstractNumId w:val="2"/>
  </w:num>
  <w:num w:numId="8" w16cid:durableId="2045709854">
    <w:abstractNumId w:val="1"/>
  </w:num>
  <w:num w:numId="9" w16cid:durableId="70182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240"/>
    <w:rsid w:val="00021CC2"/>
    <w:rsid w:val="00034616"/>
    <w:rsid w:val="0006063C"/>
    <w:rsid w:val="0015074B"/>
    <w:rsid w:val="0029639D"/>
    <w:rsid w:val="00326F90"/>
    <w:rsid w:val="005172E4"/>
    <w:rsid w:val="00582FE2"/>
    <w:rsid w:val="00772F08"/>
    <w:rsid w:val="008E51D7"/>
    <w:rsid w:val="00996BB7"/>
    <w:rsid w:val="00A04B8B"/>
    <w:rsid w:val="00AA1D8D"/>
    <w:rsid w:val="00B47730"/>
    <w:rsid w:val="00CB0664"/>
    <w:rsid w:val="00DC56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38EC"/>
  <w14:defaultImageDpi w14:val="300"/>
  <w15:docId w15:val="{A473421D-568C-478F-9DF0-A2C483B92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Шахназ Супиева</cp:lastModifiedBy>
  <cp:revision>5</cp:revision>
  <dcterms:created xsi:type="dcterms:W3CDTF">2026-07-16T13:35:00Z</dcterms:created>
  <dcterms:modified xsi:type="dcterms:W3CDTF">2026-09-10T13:12:00Z</dcterms:modified>
  <cp:category/>
</cp:coreProperties>
</file>