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28"/>
        </w:rPr>
        <w:t>DOKUMEN PROJECT FRAMING</w:t>
      </w:r>
    </w:p>
    <w:p>
      <w:pPr>
        <w:spacing w:after="120"/>
        <w:jc w:val="center"/>
      </w:pPr>
      <w:r>
        <w:rPr>
          <w:i/>
          <w:color w:val="475569"/>
          <w:sz w:val="18"/>
        </w:rPr>
        <w:t>Mata Kuliah Blok Kecerdasan Buatan &amp; Rekayasa Perangkat Lunak</w:t>
        <w:br/>
        <w:t>Program Studi D3 Teknik Informatika Kampus Madiun — Sekolah Vokasi UNS</w:t>
      </w:r>
    </w:p>
    <w:p>
      <w:pPr>
        <w:keepNext/>
        <w:spacing w:before="100" w:after="40"/>
      </w:pPr>
      <w:r>
        <w:rPr>
          <w:b/>
          <w:color w:val="1E3A8A"/>
          <w:sz w:val="21"/>
        </w:rPr>
        <w:t xml:space="preserve">1. </w:t>
      </w:r>
      <w:r>
        <w:rPr>
          <w:b/>
          <w:color w:val="1E3A8A"/>
          <w:sz w:val="21"/>
        </w:rPr>
        <w:t>Identitas Proyek</w:t>
      </w:r>
    </w:p>
    <w:tbl>
      <w:tblPr>
        <w:tblW w:type="auto" w:w="0"/>
        <w:jc w:val="center"/>
        <w:tblLayout w:type="fixed"/>
        <w:tblLook w:firstColumn="1" w:firstRow="1" w:lastColumn="0" w:lastRow="0" w:noHBand="0" w:noVBand="1" w:val="04A0"/>
      </w:tblPr>
      <w:tblGrid>
        <w:gridCol w:w="4874"/>
        <w:gridCol w:w="4874"/>
      </w:tblGrid>
      <w:tr>
        <w:trPr>
          <w:cantSplit/>
        </w:trPr>
        <w:tc>
          <w:tcPr>
            <w:tcW w:type="dxa" w:w="2592"/>
            <w:shd w:fill="F1F5F9"/>
            <w:tcMar>
              <w:top w:w="40" w:type="dxa"/>
              <w:bottom w:w="40" w:type="dxa"/>
              <w:left w:w="80" w:type="dxa"/>
              <w:right w:w="80" w:type="dxa"/>
            </w:tcMar>
          </w:tcPr>
          <w:p>
            <w:pPr>
              <w:spacing w:after="20"/>
            </w:pPr>
            <w:r>
              <w:rPr>
                <w:b/>
                <w:sz w:val="17"/>
              </w:rPr>
              <w:t>Nama Proyek</w:t>
            </w:r>
          </w:p>
        </w:tc>
        <w:tc>
          <w:tcPr>
            <w:tcW w:type="dxa" w:w="7056"/>
            <w:shd w:fill="FFFFFF"/>
            <w:tcMar>
              <w:top w:w="40" w:type="dxa"/>
              <w:bottom w:w="40" w:type="dxa"/>
              <w:left w:w="80" w:type="dxa"/>
              <w:right w:w="80" w:type="dxa"/>
            </w:tcMar>
          </w:tcPr>
          <w:p>
            <w:pPr>
              <w:spacing w:after="20"/>
            </w:pPr>
            <w:r>
              <w:rPr>
                <w:sz w:val="17"/>
              </w:rPr>
              <w:t>SkillGap.AI (Sistem Pemetaan Kesenjangan Kompetensi &amp; Rekomendasi Karier/Sertifikasi Berbasis AI)</w:t>
            </w:r>
          </w:p>
        </w:tc>
      </w:tr>
      <w:tr>
        <w:trPr>
          <w:cantSplit/>
        </w:trPr>
        <w:tc>
          <w:tcPr>
            <w:tcW w:type="dxa" w:w="2592"/>
            <w:shd w:fill="F1F5F9"/>
            <w:tcMar>
              <w:top w:w="40" w:type="dxa"/>
              <w:bottom w:w="40" w:type="dxa"/>
              <w:left w:w="80" w:type="dxa"/>
              <w:right w:w="80" w:type="dxa"/>
            </w:tcMar>
          </w:tcPr>
          <w:p>
            <w:pPr>
              <w:spacing w:after="20"/>
            </w:pPr>
            <w:r>
              <w:rPr>
                <w:b/>
                <w:sz w:val="17"/>
              </w:rPr>
              <w:t>Sektor</w:t>
            </w:r>
          </w:p>
        </w:tc>
        <w:tc>
          <w:tcPr>
            <w:tcW w:type="dxa" w:w="7056"/>
            <w:shd w:fill="F8FAFC"/>
            <w:tcMar>
              <w:top w:w="40" w:type="dxa"/>
              <w:bottom w:w="40" w:type="dxa"/>
              <w:left w:w="80" w:type="dxa"/>
              <w:right w:w="80" w:type="dxa"/>
            </w:tcMar>
          </w:tcPr>
          <w:p>
            <w:pPr>
              <w:spacing w:after="20"/>
            </w:pPr>
            <w:r>
              <w:rPr>
                <w:sz w:val="17"/>
              </w:rPr>
              <w:t>Education Technology (EdTech) &amp; Talent Development / Career Analytics</w:t>
            </w:r>
          </w:p>
        </w:tc>
      </w:tr>
      <w:tr>
        <w:trPr>
          <w:cantSplit/>
        </w:trPr>
        <w:tc>
          <w:tcPr>
            <w:tcW w:type="dxa" w:w="2592"/>
            <w:shd w:fill="F1F5F9"/>
            <w:tcMar>
              <w:top w:w="40" w:type="dxa"/>
              <w:bottom w:w="40" w:type="dxa"/>
              <w:left w:w="80" w:type="dxa"/>
              <w:right w:w="80" w:type="dxa"/>
            </w:tcMar>
          </w:tcPr>
          <w:p>
            <w:pPr>
              <w:spacing w:after="20"/>
            </w:pPr>
            <w:r>
              <w:rPr>
                <w:b/>
                <w:sz w:val="17"/>
              </w:rPr>
              <w:t>Nama Anggota Tim</w:t>
            </w:r>
          </w:p>
        </w:tc>
        <w:tc>
          <w:tcPr>
            <w:tcW w:type="dxa" w:w="7056"/>
            <w:shd w:fill="FFFFFF"/>
            <w:tcMar>
              <w:top w:w="40" w:type="dxa"/>
              <w:bottom w:w="40" w:type="dxa"/>
              <w:left w:w="80" w:type="dxa"/>
              <w:right w:w="80" w:type="dxa"/>
            </w:tcMar>
          </w:tcPr>
          <w:p>
            <w:pPr>
              <w:spacing w:after="20"/>
            </w:pPr>
            <w:r>
              <w:rPr>
                <w:sz w:val="17"/>
              </w:rPr>
              <w:t>1. Julia Rahma Nurmawati (V3925009)</w:t>
              <w:br/>
              <w:t>2. Aisyah Nurul Ilmi Prianto (V3925018)</w:t>
            </w:r>
          </w:p>
        </w:tc>
      </w:tr>
      <w:tr>
        <w:trPr>
          <w:cantSplit/>
        </w:trPr>
        <w:tc>
          <w:tcPr>
            <w:tcW w:type="dxa" w:w="2592"/>
            <w:shd w:fill="F1F5F9"/>
            <w:tcMar>
              <w:top w:w="40" w:type="dxa"/>
              <w:bottom w:w="40" w:type="dxa"/>
              <w:left w:w="80" w:type="dxa"/>
              <w:right w:w="80" w:type="dxa"/>
            </w:tcMar>
          </w:tcPr>
          <w:p>
            <w:pPr>
              <w:spacing w:after="20"/>
            </w:pPr>
            <w:r>
              <w:rPr>
                <w:b/>
                <w:sz w:val="17"/>
              </w:rPr>
              <w:t>Repository &amp; URL Live</w:t>
            </w:r>
          </w:p>
        </w:tc>
        <w:tc>
          <w:tcPr>
            <w:tcW w:type="dxa" w:w="7056"/>
            <w:shd w:fill="F8FAFC"/>
            <w:tcMar>
              <w:top w:w="40" w:type="dxa"/>
              <w:bottom w:w="40" w:type="dxa"/>
              <w:left w:w="80" w:type="dxa"/>
              <w:right w:w="80" w:type="dxa"/>
            </w:tcMar>
          </w:tcPr>
          <w:p>
            <w:pPr>
              <w:spacing w:after="20"/>
            </w:pPr>
            <w:r>
              <w:rPr>
                <w:sz w:val="17"/>
              </w:rPr>
              <w:t>Github: https://github.com/aisyahnarl/skillgap-ai</w:t>
              <w:br/>
              <w:t>URL Live: https://skillgap-ai-seven.vercel.app/ (Alternatif: https://skillgap-ai-kappa.vercel.app/)</w:t>
            </w:r>
          </w:p>
        </w:tc>
      </w:tr>
    </w:tbl>
    <w:p>
      <w:pPr>
        <w:keepNext/>
        <w:spacing w:before="100" w:after="40"/>
      </w:pPr>
      <w:r>
        <w:rPr>
          <w:b/>
          <w:color w:val="1E3A8A"/>
          <w:sz w:val="21"/>
        </w:rPr>
        <w:t xml:space="preserve">2. </w:t>
      </w:r>
      <w:r>
        <w:rPr>
          <w:b/>
          <w:color w:val="1E3A8A"/>
          <w:sz w:val="21"/>
        </w:rPr>
        <w:t>Masalah (Problem Framing)</w:t>
      </w:r>
    </w:p>
    <w:p>
      <w:r>
        <w:rPr>
          <w:b/>
        </w:rPr>
        <w:t xml:space="preserve">• Pengguna Sasaran: </w:t>
      </w:r>
      <w:r>
        <w:t>Pelajar SMK Vokasi (RPL/TKJ), mahasiswa D3/S1 Vokasi IT, dan fresh graduate / career switcher bidang IT.</w:t>
      </w:r>
    </w:p>
    <w:p>
      <w:r>
        <w:rPr>
          <w:b/>
        </w:rPr>
        <w:t xml:space="preserve">• Masalah Utama: </w:t>
      </w:r>
      <w:r>
        <w:t>Adanya kesenjangan kompetensi (skill gap) signifikan antara kurikulum formal dengan kebutuhan teknis industri IT. Calon talenta mengalami disorientasi kompetensi (tidak tahu apa yang kurang), kebingungan memilih sertifikasi yang kredibel dan efisien di antara ribuan sertifikasi beredar, serta ketiadaan panduan roadmap belajar bertahap yang terarah.</w:t>
      </w:r>
    </w:p>
    <w:p>
      <w:r>
        <w:rPr>
          <w:b/>
        </w:rPr>
        <w:t xml:space="preserve">• Mengapa Penting: </w:t>
      </w:r>
      <w:r>
        <w:t>Tingginya angka pengangguran terbuka lulusan vokasi akibat mismatch keterampilan (BPS &amp; WEF Report). Solusi diagnosis AI mencegah pemborosan biaya jutaan rupiah dan waktu berbulan-bulan untuk kursus/sertifikasi yang tidak relevan.</w:t>
      </w:r>
    </w:p>
    <w:p>
      <w:r>
        <w:rPr>
          <w:b/>
        </w:rPr>
        <w:t xml:space="preserve">• Karakteristik Masalah: </w:t>
      </w:r>
      <w:r>
        <w:t>Spesifik (domain 20 peran kerja IT standar industri), Terukur (skor kecocokan Match Score 0-100% dan Gap Score kuantitatif per kompetensi), dan Terbatas (jenjang Pemula-Lanjutan dengan kurasi sertifikasi resmi BNSP, Dicoding, Google, AWS, Microsoft, Meta).</w:t>
      </w:r>
    </w:p>
    <w:p>
      <w:pPr>
        <w:keepNext/>
        <w:spacing w:before="100" w:after="40"/>
      </w:pPr>
      <w:r>
        <w:rPr>
          <w:b/>
          <w:color w:val="1E3A8A"/>
          <w:sz w:val="21"/>
        </w:rPr>
        <w:t xml:space="preserve">3. </w:t>
      </w:r>
      <w:r>
        <w:rPr>
          <w:b/>
          <w:color w:val="1E3A8A"/>
          <w:sz w:val="21"/>
        </w:rPr>
        <w:t>Input dan Output Sistem</w:t>
      </w:r>
    </w:p>
    <w:p>
      <w:r>
        <w:rPr>
          <w:b/>
        </w:rPr>
        <w:t xml:space="preserve">• Data Input: </w:t>
      </w:r>
      <w:r>
        <w:t>Profil pendidikan (Pelajar/Mahasiswa), target peran kerja (misal: Frontend Dev, Data Analyst), penilaian mandiri keterampilan (skala 5 level kemahiran: Beginner-Expert), respons kuesioner kesiapan belajar, dan teks deskripsi pengalaman/portofolio bebas (unstructured text).</w:t>
      </w:r>
    </w:p>
    <w:p>
      <w:r>
        <w:rPr>
          <w:b/>
        </w:rPr>
        <w:t xml:space="preserve">• Hasil Output: </w:t>
      </w:r>
      <w:r>
        <w:t>Skor Kecocokan (Match Score %) dan Skor Kesenjangan (Skill Gap %), Matriks Status Keahlian (Strong, Developing, Gap), Rekomendasi Sertifikasi Berbobot (prioritas High/Medium, estimasi waktu, prasyarat), dan Roadmap Pembelajaran Personal 3 Fase (Fondasi, Latihan Terarah &amp; Proyek, Validasi &amp; Sertifikasi).</w:t>
      </w:r>
    </w:p>
    <w:p>
      <w:pPr>
        <w:keepNext/>
        <w:spacing w:before="100" w:after="40"/>
      </w:pPr>
      <w:r>
        <w:rPr>
          <w:b/>
          <w:color w:val="1E3A8A"/>
          <w:sz w:val="21"/>
        </w:rPr>
        <w:t xml:space="preserve">4. </w:t>
      </w:r>
      <w:r>
        <w:rPr>
          <w:b/>
          <w:color w:val="1E3A8A"/>
          <w:sz w:val="21"/>
        </w:rPr>
        <w:t>Tipe Masalah AI</w:t>
      </w:r>
    </w:p>
    <w:p>
      <w:r>
        <w:rPr>
          <w:b/>
        </w:rPr>
        <w:t xml:space="preserve">Tipe Masalah: </w:t>
      </w:r>
      <w:r>
        <w:t>Generative AI (Structured Information Extraction &amp; Retrieval-Augmented Generation / RAG) dikombinasikan dengan Machine Learning (Multi-Label Skill Matching &amp; Vector Similarity Ranking).</w:t>
      </w:r>
    </w:p>
    <w:p>
      <w:r>
        <w:t>1) Structured Extraction (Gen AI/NLP): Mengekstraksi keahlian dari teks portofolio pengguna ke format JSON terstandarisasi. 2) RAG Architecture: Menyematkan standar SKKNI dan silabus sertifikasi resmi sebagai konteks acuan untuk mencegah halusinasi. 3) Vector Cosine Similarity (ML): Menghitung kedekatan vektor antara kemampuan pengguna dan spesifikasi role target. 4) Contextual Narrative Generation (Gen AI): Menghasilkan penjelasan rekomendasi dan roadmap adaptif.</w:t>
      </w:r>
    </w:p>
    <w:p>
      <w:pPr>
        <w:keepNext/>
        <w:spacing w:before="100" w:after="40"/>
      </w:pPr>
      <w:r>
        <w:rPr>
          <w:b/>
          <w:color w:val="1E3A8A"/>
          <w:sz w:val="21"/>
        </w:rPr>
        <w:t xml:space="preserve">5. </w:t>
      </w:r>
      <w:r>
        <w:rPr>
          <w:b/>
          <w:color w:val="1E3A8A"/>
          <w:sz w:val="21"/>
        </w:rPr>
        <w:t>Justifikasi AI (Mengapa Butuh AI)</w:t>
      </w:r>
    </w:p>
    <w:p>
      <w:r>
        <w:t xml:space="preserve">• </w:t>
      </w:r>
      <w:r>
        <w:rPr>
          <w:b/>
        </w:rPr>
        <w:t xml:space="preserve">Variasi Linguistik Terminologi: </w:t>
      </w:r>
      <w:r>
        <w:t>Pengguna menyebutkan keahlian dengan istilah bahasa alami yang sangat beragam ('slicing Figma ke CSS', 'bikin API Node', 'ReactJS'). Logika if-else statis gagal menangani variasi sinonim semantik, sedangkan AI/NLP mampu memetakan variasi teks ke taksonomi baku.</w:t>
        <w:br/>
        <w:t xml:space="preserve">• </w:t>
      </w:r>
      <w:r>
        <w:rPr>
          <w:b/>
        </w:rPr>
        <w:t xml:space="preserve">Penalaran Kurikulum yang Adaptif: </w:t>
      </w:r>
      <w:r>
        <w:t>Rule-based hanya mampu memberikan template kaku, sedangkan Gen AI mampu menyesuaikan penalaran kurikulum berdasarkan persona (siswa SMK fokus fondasi konsep, mahasiswa fokus arsitektur perangkat lunak dan portofolio).</w:t>
        <w:br/>
        <w:t xml:space="preserve">• </w:t>
      </w:r>
      <w:r>
        <w:rPr>
          <w:b/>
        </w:rPr>
        <w:t xml:space="preserve">Skalabilitas &amp; Kemudahan Pembaruan: </w:t>
      </w:r>
      <w:r>
        <w:t>Standar industri dan sertifikasi baru dapat ditambahkan ke basis data pengetahuan RAG tanpa merombak ribuan baris kode logika program.</w:t>
      </w:r>
    </w:p>
    <w:p>
      <w:pPr>
        <w:keepNext/>
        <w:spacing w:before="100" w:after="40"/>
      </w:pPr>
      <w:r>
        <w:rPr>
          <w:b/>
          <w:color w:val="1E3A8A"/>
          <w:sz w:val="21"/>
        </w:rPr>
        <w:t xml:space="preserve">6. </w:t>
      </w:r>
      <w:r>
        <w:rPr>
          <w:b/>
          <w:color w:val="1E3A8A"/>
          <w:sz w:val="21"/>
        </w:rPr>
        <w:t>Algoritma yang Dipakai dan Alasannya</w:t>
      </w:r>
    </w:p>
    <w:p>
      <w:r>
        <w:rPr>
          <w:b/>
        </w:rPr>
        <w:t xml:space="preserve">1. Retrieval-Augmented Generation (RAG) + LLM (Gemini / Llama): </w:t>
      </w:r>
      <w:r>
        <w:t>Mencegah halusinasi fakta sertifikasi/SKKNI karena respon model terikat (grounded) pada basis data resmi, sekaligus memproduksi penalaran roadmap yang terstruktur rapi (JSON schema).</w:t>
        <w:br/>
      </w:r>
      <w:r>
        <w:rPr>
          <w:b/>
        </w:rPr>
        <w:t xml:space="preserve">2. Vector Space Embedding &amp; Cosine Similarity: </w:t>
      </w:r>
      <w:r>
        <w:t>Menghitung skor kecocokan (Match Score) secara matematis, cepat, deterministik, dan dapat diaudit (interpretable) berdasarkan vektor representasi kompetensi pengguna vs persyaratan peran kerja.</w:t>
      </w:r>
    </w:p>
    <w:p>
      <w:pPr>
        <w:keepNext/>
        <w:spacing w:before="100" w:after="40"/>
      </w:pPr>
      <w:r>
        <w:rPr>
          <w:b/>
          <w:color w:val="1E3A8A"/>
          <w:sz w:val="21"/>
        </w:rPr>
        <w:t xml:space="preserve">7. </w:t>
      </w:r>
      <w:r>
        <w:rPr>
          <w:b/>
          <w:color w:val="1E3A8A"/>
          <w:sz w:val="21"/>
        </w:rPr>
        <w:t>Dataset yang Digunakan</w:t>
      </w:r>
    </w:p>
    <w:tbl>
      <w:tblPr>
        <w:tblW w:type="auto" w:w="0"/>
        <w:jc w:val="center"/>
        <w:tblLayout w:type="fixed"/>
        <w:tblLook w:firstColumn="1" w:firstRow="1" w:lastColumn="0" w:lastRow="0" w:noHBand="0" w:noVBand="1" w:val="04A0"/>
      </w:tblPr>
      <w:tblGrid>
        <w:gridCol w:w="3250"/>
        <w:gridCol w:w="3250"/>
        <w:gridCol w:w="3250"/>
      </w:tblGrid>
      <w:tr>
        <w:trPr>
          <w:cantSplit/>
        </w:trPr>
        <w:tc>
          <w:tcPr>
            <w:tcW w:type="dxa" w:w="2592"/>
            <w:shd w:fill="0F172A"/>
            <w:tcMar>
              <w:top w:w="50" w:type="dxa"/>
              <w:bottom w:w="50" w:type="dxa"/>
              <w:left w:w="70" w:type="dxa"/>
              <w:right w:w="70" w:type="dxa"/>
            </w:tcMar>
          </w:tcPr>
          <w:p>
            <w:pPr>
              <w:spacing w:after="20"/>
            </w:pPr>
            <w:r>
              <w:rPr>
                <w:b/>
                <w:color w:val="FFFFFF"/>
                <w:sz w:val="16"/>
              </w:rPr>
              <w:t>Nama Dataset</w:t>
            </w:r>
          </w:p>
        </w:tc>
        <w:tc>
          <w:tcPr>
            <w:tcW w:type="dxa" w:w="2160"/>
            <w:shd w:fill="0F172A"/>
            <w:tcMar>
              <w:top w:w="50" w:type="dxa"/>
              <w:bottom w:w="50" w:type="dxa"/>
              <w:left w:w="70" w:type="dxa"/>
              <w:right w:w="70" w:type="dxa"/>
            </w:tcMar>
          </w:tcPr>
          <w:p>
            <w:pPr>
              <w:spacing w:after="20"/>
            </w:pPr>
            <w:r>
              <w:rPr>
                <w:b/>
                <w:color w:val="FFFFFF"/>
                <w:sz w:val="16"/>
              </w:rPr>
              <w:t>Sumber Data</w:t>
            </w:r>
          </w:p>
        </w:tc>
        <w:tc>
          <w:tcPr>
            <w:tcW w:type="dxa" w:w="4896"/>
            <w:shd w:fill="0F172A"/>
            <w:tcMar>
              <w:top w:w="50" w:type="dxa"/>
              <w:bottom w:w="50" w:type="dxa"/>
              <w:left w:w="70" w:type="dxa"/>
              <w:right w:w="70" w:type="dxa"/>
            </w:tcMar>
          </w:tcPr>
          <w:p>
            <w:pPr>
              <w:spacing w:after="20"/>
            </w:pPr>
            <w:r>
              <w:rPr>
                <w:b/>
                <w:color w:val="FFFFFF"/>
                <w:sz w:val="16"/>
              </w:rPr>
              <w:t>Tautan Resmi &amp; Keterangan</w:t>
            </w:r>
          </w:p>
        </w:tc>
      </w:tr>
      <w:tr>
        <w:trPr>
          <w:cantSplit/>
        </w:trPr>
        <w:tc>
          <w:tcPr>
            <w:tcW w:type="dxa" w:w="2592"/>
            <w:shd w:fill="FFFFFF"/>
            <w:tcMar>
              <w:top w:w="35" w:type="dxa"/>
              <w:bottom w:w="35" w:type="dxa"/>
              <w:left w:w="60" w:type="dxa"/>
              <w:right w:w="60" w:type="dxa"/>
            </w:tcMar>
          </w:tcPr>
          <w:p>
            <w:pPr>
              <w:spacing w:after="20"/>
            </w:pPr>
            <w:r>
              <w:rPr>
                <w:sz w:val="15"/>
              </w:rPr>
              <w:t>IT Job Roles Skills Dataset (Primer)</w:t>
            </w:r>
          </w:p>
        </w:tc>
        <w:tc>
          <w:tcPr>
            <w:tcW w:type="dxa" w:w="2160"/>
            <w:shd w:fill="FFFFFF"/>
            <w:tcMar>
              <w:top w:w="35" w:type="dxa"/>
              <w:bottom w:w="35" w:type="dxa"/>
              <w:left w:w="60" w:type="dxa"/>
              <w:right w:w="60" w:type="dxa"/>
            </w:tcMar>
          </w:tcPr>
          <w:p>
            <w:pPr>
              <w:spacing w:after="20"/>
            </w:pPr>
            <w:r>
              <w:rPr>
                <w:sz w:val="15"/>
              </w:rPr>
              <w:t>Kaggle</w:t>
              <w:br/>
              <w:t>(Dhivya Dharuna)</w:t>
            </w:r>
          </w:p>
        </w:tc>
        <w:tc>
          <w:tcPr>
            <w:tcW w:type="dxa" w:w="4896"/>
            <w:shd w:fill="FFFFFF"/>
            <w:tcMar>
              <w:top w:w="35" w:type="dxa"/>
              <w:bottom w:w="35" w:type="dxa"/>
              <w:left w:w="60" w:type="dxa"/>
              <w:right w:w="60" w:type="dxa"/>
            </w:tcMar>
          </w:tcPr>
          <w:p>
            <w:pPr>
              <w:spacing w:after="20"/>
            </w:pPr>
            <w:r>
              <w:rPr>
                <w:sz w:val="15"/>
              </w:rPr>
              <w:t>https://www.kaggle.com/datasets/dhivyadharuna/it-job-roles-skills-dataset</w:t>
              <w:br/>
              <w:t>Katalog 493 role IT, deskripsi pekerjaan, skills, dan sertifikasi.</w:t>
            </w:r>
          </w:p>
        </w:tc>
      </w:tr>
      <w:tr>
        <w:trPr>
          <w:cantSplit/>
        </w:trPr>
        <w:tc>
          <w:tcPr>
            <w:tcW w:type="dxa" w:w="2592"/>
            <w:shd w:fill="F8FAFC"/>
            <w:tcMar>
              <w:top w:w="35" w:type="dxa"/>
              <w:bottom w:w="35" w:type="dxa"/>
              <w:left w:w="60" w:type="dxa"/>
              <w:right w:w="60" w:type="dxa"/>
            </w:tcMar>
          </w:tcPr>
          <w:p>
            <w:pPr>
              <w:spacing w:after="20"/>
            </w:pPr>
            <w:r>
              <w:rPr>
                <w:sz w:val="15"/>
              </w:rPr>
              <w:t>Candidate Job Role Dataset (Pendukung)</w:t>
            </w:r>
          </w:p>
        </w:tc>
        <w:tc>
          <w:tcPr>
            <w:tcW w:type="dxa" w:w="2160"/>
            <w:shd w:fill="F8FAFC"/>
            <w:tcMar>
              <w:top w:w="35" w:type="dxa"/>
              <w:bottom w:w="35" w:type="dxa"/>
              <w:left w:w="60" w:type="dxa"/>
              <w:right w:w="60" w:type="dxa"/>
            </w:tcMar>
          </w:tcPr>
          <w:p>
            <w:pPr>
              <w:spacing w:after="20"/>
            </w:pPr>
            <w:r>
              <w:rPr>
                <w:sz w:val="15"/>
              </w:rPr>
              <w:t>Kaggle</w:t>
              <w:br/>
              <w:t>(C. K. Shetty)</w:t>
            </w:r>
          </w:p>
        </w:tc>
        <w:tc>
          <w:tcPr>
            <w:tcW w:type="dxa" w:w="4896"/>
            <w:shd w:fill="F8FAFC"/>
            <w:tcMar>
              <w:top w:w="35" w:type="dxa"/>
              <w:bottom w:w="35" w:type="dxa"/>
              <w:left w:w="60" w:type="dxa"/>
              <w:right w:w="60" w:type="dxa"/>
            </w:tcMar>
          </w:tcPr>
          <w:p>
            <w:pPr>
              <w:spacing w:after="20"/>
            </w:pPr>
            <w:r>
              <w:rPr>
                <w:sz w:val="15"/>
              </w:rPr>
              <w:t>https://www.kaggle.com/datasets/ckshetty/candidate-job-role-dataset</w:t>
              <w:br/>
              <w:t>Data profil kandidat dengan pengalaman, skills, dan target role.</w:t>
            </w:r>
          </w:p>
        </w:tc>
      </w:tr>
      <w:tr>
        <w:trPr>
          <w:cantSplit/>
        </w:trPr>
        <w:tc>
          <w:tcPr>
            <w:tcW w:type="dxa" w:w="2592"/>
            <w:shd w:fill="FFFFFF"/>
            <w:tcMar>
              <w:top w:w="35" w:type="dxa"/>
              <w:bottom w:w="35" w:type="dxa"/>
              <w:left w:w="60" w:type="dxa"/>
              <w:right w:w="60" w:type="dxa"/>
            </w:tcMar>
          </w:tcPr>
          <w:p>
            <w:pPr>
              <w:spacing w:after="20"/>
            </w:pPr>
            <w:r>
              <w:rPr>
                <w:sz w:val="15"/>
              </w:rPr>
              <w:t>Student Skill Gap Analysis (Pelajar/Mhs)</w:t>
            </w:r>
          </w:p>
        </w:tc>
        <w:tc>
          <w:tcPr>
            <w:tcW w:type="dxa" w:w="2160"/>
            <w:shd w:fill="FFFFFF"/>
            <w:tcMar>
              <w:top w:w="35" w:type="dxa"/>
              <w:bottom w:w="35" w:type="dxa"/>
              <w:left w:w="60" w:type="dxa"/>
              <w:right w:w="60" w:type="dxa"/>
            </w:tcMar>
          </w:tcPr>
          <w:p>
            <w:pPr>
              <w:spacing w:after="20"/>
            </w:pPr>
            <w:r>
              <w:rPr>
                <w:sz w:val="15"/>
              </w:rPr>
              <w:t>Kaggle</w:t>
              <w:br/>
              <w:t>(Shristi Saini)</w:t>
            </w:r>
          </w:p>
        </w:tc>
        <w:tc>
          <w:tcPr>
            <w:tcW w:type="dxa" w:w="4896"/>
            <w:shd w:fill="FFFFFF"/>
            <w:tcMar>
              <w:top w:w="35" w:type="dxa"/>
              <w:bottom w:w="35" w:type="dxa"/>
              <w:left w:w="60" w:type="dxa"/>
              <w:right w:w="60" w:type="dxa"/>
            </w:tcMar>
          </w:tcPr>
          <w:p>
            <w:pPr>
              <w:spacing w:after="20"/>
            </w:pPr>
            <w:r>
              <w:rPr>
                <w:sz w:val="15"/>
              </w:rPr>
              <w:t>https://www.kaggle.com/datasets/shristisaini/student-skill-gap-analysis</w:t>
              <w:br/>
              <w:t>Dataset evaluasi disparitas skill mahasiswa/pelajar vs industri.</w:t>
            </w:r>
          </w:p>
        </w:tc>
      </w:tr>
      <w:tr>
        <w:trPr>
          <w:cantSplit/>
        </w:trPr>
        <w:tc>
          <w:tcPr>
            <w:tcW w:type="dxa" w:w="2592"/>
            <w:shd w:fill="F8FAFC"/>
            <w:tcMar>
              <w:top w:w="35" w:type="dxa"/>
              <w:bottom w:w="35" w:type="dxa"/>
              <w:left w:w="60" w:type="dxa"/>
              <w:right w:w="60" w:type="dxa"/>
            </w:tcMar>
          </w:tcPr>
          <w:p>
            <w:pPr>
              <w:spacing w:after="20"/>
            </w:pPr>
            <w:r>
              <w:rPr>
                <w:sz w:val="15"/>
              </w:rPr>
              <w:t>Resume Skill Gap Analyzer (NLP/Matching)</w:t>
            </w:r>
          </w:p>
        </w:tc>
        <w:tc>
          <w:tcPr>
            <w:tcW w:type="dxa" w:w="2160"/>
            <w:shd w:fill="F8FAFC"/>
            <w:tcMar>
              <w:top w:w="35" w:type="dxa"/>
              <w:bottom w:w="35" w:type="dxa"/>
              <w:left w:w="60" w:type="dxa"/>
              <w:right w:w="60" w:type="dxa"/>
            </w:tcMar>
          </w:tcPr>
          <w:p>
            <w:pPr>
              <w:spacing w:after="20"/>
            </w:pPr>
            <w:r>
              <w:rPr>
                <w:sz w:val="15"/>
              </w:rPr>
              <w:t>Kaggle</w:t>
              <w:br/>
              <w:t>(Keerthi Ramesh)</w:t>
            </w:r>
          </w:p>
        </w:tc>
        <w:tc>
          <w:tcPr>
            <w:tcW w:type="dxa" w:w="4896"/>
            <w:shd w:fill="F8FAFC"/>
            <w:tcMar>
              <w:top w:w="35" w:type="dxa"/>
              <w:bottom w:w="35" w:type="dxa"/>
              <w:left w:w="60" w:type="dxa"/>
              <w:right w:w="60" w:type="dxa"/>
            </w:tcMar>
          </w:tcPr>
          <w:p>
            <w:pPr>
              <w:spacing w:after="20"/>
            </w:pPr>
            <w:r>
              <w:rPr>
                <w:sz w:val="15"/>
              </w:rPr>
              <w:t>https://www.kaggle.com/datasets/keerthiramesh470/resume-skill-gap-analyzer-dataset</w:t>
              <w:br/>
              <w:t>Data ekstraksi dan analisis kesenjangan skill berbasis resume.</w:t>
            </w:r>
          </w:p>
        </w:tc>
      </w:tr>
      <w:tr>
        <w:trPr>
          <w:cantSplit/>
        </w:trPr>
        <w:tc>
          <w:tcPr>
            <w:tcW w:type="dxa" w:w="2592"/>
            <w:shd w:fill="FFFFFF"/>
            <w:tcMar>
              <w:top w:w="35" w:type="dxa"/>
              <w:bottom w:w="35" w:type="dxa"/>
              <w:left w:w="60" w:type="dxa"/>
              <w:right w:w="60" w:type="dxa"/>
            </w:tcMar>
          </w:tcPr>
          <w:p>
            <w:pPr>
              <w:spacing w:after="20"/>
            </w:pPr>
            <w:r>
              <w:rPr>
                <w:sz w:val="15"/>
              </w:rPr>
              <w:t>SkillGap.AI Golden Test Set (Wajib Note b)</w:t>
            </w:r>
          </w:p>
        </w:tc>
        <w:tc>
          <w:tcPr>
            <w:tcW w:type="dxa" w:w="2160"/>
            <w:shd w:fill="FFFFFF"/>
            <w:tcMar>
              <w:top w:w="35" w:type="dxa"/>
              <w:bottom w:w="35" w:type="dxa"/>
              <w:left w:w="60" w:type="dxa"/>
              <w:right w:w="60" w:type="dxa"/>
            </w:tcMar>
          </w:tcPr>
          <w:p>
            <w:pPr>
              <w:spacing w:after="20"/>
            </w:pPr>
            <w:r>
              <w:rPr>
                <w:sz w:val="15"/>
              </w:rPr>
              <w:t>Data Uji Internal</w:t>
              <w:br/>
              <w:t>(Terkurasi Manual)</w:t>
            </w:r>
          </w:p>
        </w:tc>
        <w:tc>
          <w:tcPr>
            <w:tcW w:type="dxa" w:w="4896"/>
            <w:shd w:fill="FFFFFF"/>
            <w:tcMar>
              <w:top w:w="35" w:type="dxa"/>
              <w:bottom w:w="35" w:type="dxa"/>
              <w:left w:w="60" w:type="dxa"/>
              <w:right w:w="60" w:type="dxa"/>
            </w:tcMar>
          </w:tcPr>
          <w:p>
            <w:pPr>
              <w:spacing w:after="20"/>
            </w:pPr>
            <w:r>
              <w:rPr>
                <w:sz w:val="15"/>
              </w:rPr>
              <w:t>datasets/skillgap_ground_truth_test_set.csv</w:t>
              <w:br/>
              <w:t>30 kasus uji beranotasi kunci jawaban manual untuk evaluasi LLM.</w:t>
            </w:r>
          </w:p>
        </w:tc>
      </w:tr>
    </w:tbl>
    <w:p>
      <w:pPr>
        <w:keepNext/>
        <w:spacing w:before="100" w:after="40"/>
      </w:pPr>
      <w:r>
        <w:rPr>
          <w:b/>
          <w:color w:val="1E3A8A"/>
          <w:sz w:val="21"/>
        </w:rPr>
        <w:t xml:space="preserve">8. </w:t>
      </w:r>
      <w:r>
        <w:rPr>
          <w:b/>
          <w:color w:val="1E3A8A"/>
          <w:sz w:val="21"/>
        </w:rPr>
        <w:t>Ruang Lingkup Proyek (Scope of Work)</w:t>
      </w:r>
    </w:p>
    <w:p>
      <w:r>
        <w:rPr>
          <w:b/>
        </w:rPr>
        <w:t xml:space="preserve">• Yang Dikerjakan: </w:t>
      </w:r>
      <w:r>
        <w:t>1) Modul ekstraksi terstruktur keahlian dari teks input pengguna. 2) Algoritma penghitungan selisih gap kompetensi &amp; Match Score berbasis kesamaan vektor. 3) Modul rekomendasi sertifikasi berbobot &amp; generator roadmap belajar personal 3 fase berbasis RAG. 4) Pembuatan dataset set uji (30 kasus uji) dan evaluasi performa model kuantitatif. 5) Integrasi antarmuka web interaktif (Next.js / Vite) untuk asesmen pengguna.</w:t>
      </w:r>
    </w:p>
    <w:p>
      <w:r>
        <w:rPr>
          <w:b/>
        </w:rPr>
        <w:t xml:space="preserve">• Yang TIDAK Dikerjakan: </w:t>
      </w:r>
      <w:r>
        <w:t>1) Scraping portal lowongan eksternal secara real-time saat runtime aplikasi berjalan. 2) Penyelenggaraan ujian sertifikasi dan penerbitan sertifikat resmi (sistem hanya bertindak sebagai pemeta persiapan). 3) Melakukan pre-training model bahasa besar (LLM ratusan miliar parameter) dari awal, melainkan memanfaatkan foundation model via API dengan integrasi RAG.</w:t>
      </w:r>
    </w:p>
    <w:tbl>
      <w:tblPr>
        <w:tblW w:type="auto" w:w="0"/>
        <w:jc w:val="center"/>
        <w:tblLook w:firstColumn="1" w:firstRow="1" w:lastColumn="0" w:lastRow="0" w:noHBand="0" w:noVBand="1" w:val="04A0"/>
      </w:tblPr>
      <w:tblGrid>
        <w:gridCol w:w="9749"/>
      </w:tblGrid>
      <w:tr>
        <w:trPr>
          <w:cantSplit/>
        </w:trPr>
        <w:tc>
          <w:tcPr>
            <w:tcW w:type="dxa" w:w="9648"/>
            <w:shd w:fill="EFF6FF"/>
            <w:tcMar>
              <w:top w:w="50" w:type="dxa"/>
              <w:bottom w:w="50" w:type="dxa"/>
              <w:left w:w="100" w:type="dxa"/>
              <w:right w:w="100" w:type="dxa"/>
            </w:tcMar>
          </w:tcPr>
          <w:p>
            <w:pPr>
              <w:spacing w:after="20"/>
            </w:pPr>
            <w:r>
              <w:rPr>
                <w:b/>
                <w:color w:val="1E40AF"/>
                <w:sz w:val="17"/>
              </w:rPr>
              <w:t>Kepatuhan Catatan Dosen (Note b — Evaluasi Objektif Gen AI):</w:t>
              <w:br/>
            </w:r>
            <w:r>
              <w:rPr>
                <w:color w:val="1E3A8A"/>
                <w:sz w:val="16"/>
              </w:rPr>
              <w:t>Telah disiapkan set uji teranotasi manual (datasets/skillgap_ground_truth_test_set.csv) dengan 30 skenario uji. Evaluasi objektif model diukur menggunakan metrik: (1) F1-Score Ekstraksi Keahlian (Target &gt;= 85%), (2) Jaccard Similarity Deteksi Gap (Target &gt;= 80%), (3) Mean Absolute Error (MAE) Match Score (Target &lt;= 7.5%), dan (4) Top-1 Accuracy Rekomendasi Sertifikasi (Target &gt;= 85%).</w:t>
            </w:r>
          </w:p>
        </w:tc>
      </w:tr>
    </w:tbl>
    <w:sectPr w:rsidR="00FC693F" w:rsidRPr="0006063C" w:rsidSect="00034616">
      <w:pgSz w:w="11909" w:h="16834"/>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40"/>
    </w:pPr>
    <w:rPr>
      <w:rFonts w:ascii="Calibri" w:hAnsi="Calibri"/>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