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1800" w:hRule="exact"/>
        </w:trPr>
        <w:tc>
          <w:tcPr>
            <w:tcW w:type="dxa" w:w="9360"/>
            <w:tcBorders>
              <w:top w:val="none" w:sz="0"/>
              <w:left w:val="none" w:sz="0"/>
              <w:bottom w:val="none" w:sz="0"/>
              <w:right w:val="none" w:sz="0"/>
            </w:tcBorders>
            <w:shd w:fill="1B3A5C" w:val="clear"/>
            <w:tcMar>
              <w:top w:type="dxa" w:w="400"/>
              <w:left w:type="dxa" w:w="400"/>
              <w:bottom w:type="dxa" w:w="400"/>
              <w:right w:type="dxa" w:w="400"/>
            </w:tcMar>
            <w:vAlign w:val="center"/>
          </w:tcPr>
          <w:p>
            <w:pPr>
              <w:jc w:val="center"/>
            </w:pPr>
            <w:r>
              <w:rPr>
                <w:rFonts w:ascii="Arial" w:cs="Arial" w:eastAsia="Arial" w:hAnsi="Arial"/>
                <w:b/>
                <w:bCs/>
                <w:color w:val="88AACC"/>
                <w:sz w:val="22"/>
                <w:szCs w:val="22"/>
              </w:rPr>
              <w:t xml:space="preserve">CONFIDENTIAL</w:t>
            </w:r>
          </w:p>
        </w:tc>
      </w:tr>
    </w:tbl>
    <w:p>
      <w:pPr>
        <w:spacing w:before="2400"/>
      </w:pPr>
    </w:p>
    <w:p>
      <w:pPr>
        <w:spacing w:after="200"/>
        <w:jc w:val="center"/>
      </w:pPr>
      <w:r>
        <w:rPr>
          <w:rFonts w:ascii="Arial" w:cs="Arial" w:eastAsia="Arial" w:hAnsi="Arial"/>
          <w:b/>
          <w:bCs/>
          <w:color w:val="1B3A5C"/>
          <w:sz w:val="52"/>
          <w:szCs w:val="52"/>
        </w:rPr>
        <w:t xml:space="preserve">AISymmetric Solutions</w:t>
      </w:r>
    </w:p>
    <w:p>
      <w:pPr>
        <w:spacing w:after="100"/>
        <w:jc w:val="center"/>
      </w:pPr>
      <w:r>
        <w:rPr>
          <w:rFonts w:ascii="Arial" w:cs="Arial" w:eastAsia="Arial" w:hAnsi="Arial"/>
          <w:color w:val="2E75B6"/>
          <w:sz w:val="36"/>
          <w:szCs w:val="36"/>
        </w:rPr>
        <w:t xml:space="preserve">Website ISO Compliance &amp;</w:t>
      </w:r>
    </w:p>
    <w:p>
      <w:pPr>
        <w:spacing w:after="400"/>
        <w:jc w:val="center"/>
      </w:pPr>
      <w:r>
        <w:rPr>
          <w:rFonts w:ascii="Arial" w:cs="Arial" w:eastAsia="Arial" w:hAnsi="Arial"/>
          <w:color w:val="2E75B6"/>
          <w:sz w:val="36"/>
          <w:szCs w:val="36"/>
        </w:rPr>
        <w:t xml:space="preserve">Security Assessment</w:t>
      </w:r>
    </w:p>
    <w:p>
      <w:pPr>
        <w:pBdr>
          <w:bottom w:val="single" w:color="2E75B6" w:sz="6" w:space="1"/>
        </w:pBdr>
        <w:spacing w:after="400"/>
        <w:jc w:val="center"/>
      </w:pPr>
    </w:p>
    <w:p>
      <w:pPr>
        <w:spacing w:after="100"/>
        <w:jc w:val="center"/>
      </w:pPr>
      <w:r>
        <w:rPr>
          <w:rFonts w:ascii="Arial" w:cs="Arial" w:eastAsia="Arial" w:hAnsi="Arial"/>
          <w:i/>
          <w:iCs/>
          <w:color w:val="666666"/>
          <w:sz w:val="24"/>
          <w:szCs w:val="24"/>
        </w:rPr>
        <w:t xml:space="preserve">Internal Self-Assessment Report</w:t>
      </w:r>
    </w:p>
    <w:p>
      <w:pPr>
        <w:spacing w:after="100"/>
        <w:jc w:val="center"/>
      </w:pPr>
      <w:r>
        <w:rPr>
          <w:rFonts w:ascii="Arial" w:cs="Arial" w:eastAsia="Arial" w:hAnsi="Arial"/>
          <w:color w:val="666666"/>
          <w:sz w:val="22"/>
          <w:szCs w:val="22"/>
        </w:rPr>
        <w:t xml:space="preserve">April 15, 2026</w:t>
      </w:r>
    </w:p>
    <w:p>
      <w:pPr>
        <w:spacing w:before="2000"/>
      </w:pPr>
    </w:p>
    <w:p>
      <w:pPr>
        <w:jc w:val="center"/>
      </w:pPr>
      <w:r>
        <w:rPr>
          <w:rFonts w:ascii="Arial" w:cs="Arial" w:eastAsia="Arial" w:hAnsi="Arial"/>
          <w:b/>
          <w:bCs/>
          <w:color w:val="C00000"/>
          <w:sz w:val="20"/>
          <w:szCs w:val="20"/>
        </w:rPr>
        <w:t xml:space="preserve">CONFIDENTIAL — Internal Use Only</w:t>
      </w:r>
    </w:p>
    <w:p>
      <w:pPr>
        <w:sectPr>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1B3A5C"/>
          <w:sz w:val="32"/>
          <w:szCs w:val="32"/>
        </w:rPr>
        <w:t xml:space="preserve">1. Executive Summary</w:t>
      </w:r>
    </w:p>
    <w:p>
      <w:pPr>
        <w:spacing w:after="120"/>
      </w:pPr>
      <w:r>
        <w:rPr>
          <w:rFonts w:ascii="Arial" w:cs="Arial" w:eastAsia="Arial" w:hAnsi="Arial"/>
          <w:sz w:val="20"/>
          <w:szCs w:val="20"/>
        </w:rPr>
        <w:t xml:space="preserve">AISymmetric Solutions (aisymmetricsolutions.com) was assessed from an external, public-facing perspective against key ISO 27001 (Information Security Management), ISO 27701 (Privacy Information Management), and ISO 27002 (Security Controls) standards.</w:t>
      </w:r>
    </w:p>
    <w:p>
      <w:pPr>
        <w:spacing w:after="120"/>
      </w:pPr>
      <w:r>
        <w:rPr>
          <w:rFonts w:ascii="Arial" w:cs="Arial" w:eastAsia="Arial" w:hAnsi="Arial"/>
          <w:sz w:val="20"/>
          <w:szCs w:val="20"/>
        </w:rPr>
        <w:t xml:space="preserve">This self-assessment identifies gaps and confirms compliant controls to establish a baseline before engaging with client audit deliverables.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none" w:sz="0"/>
              <w:left w:val="none" w:sz="0"/>
              <w:bottom w:val="none" w:sz="0"/>
              <w:right w:val="none" w:sz="0"/>
            </w:tcBorders>
            <w:shd w:fill="1B3A5C" w:val="clear"/>
            <w:tcMar>
              <w:top w:type="dxa" w:w="200"/>
              <w:left w:type="dxa" w:w="200"/>
              <w:bottom w:type="dxa" w:w="200"/>
              <w:right w:type="dxa" w:w="200"/>
            </w:tcMar>
            <w:vAlign w:val="center"/>
          </w:tcPr>
          <w:p>
            <w:pPr>
              <w:jc w:val="center"/>
            </w:pPr>
            <w:r>
              <w:rPr>
                <w:rFonts w:ascii="Arial" w:cs="Arial" w:eastAsia="Arial" w:hAnsi="Arial"/>
                <w:b/>
                <w:bCs/>
                <w:color w:val="FFFFFF"/>
                <w:sz w:val="20"/>
                <w:szCs w:val="20"/>
              </w:rPr>
              <w:t xml:space="preserve">OVERALL RISK RATING</w:t>
            </w:r>
          </w:p>
        </w:tc>
        <w:tc>
          <w:tcPr>
            <w:tcW w:type="dxa" w:w="6360"/>
            <w:tcBorders>
              <w:top w:val="none" w:sz="0"/>
              <w:left w:val="none" w:sz="0"/>
              <w:bottom w:val="none" w:sz="0"/>
              <w:right w:val="none" w:sz="0"/>
            </w:tcBorders>
            <w:shd w:fill="FFFDE0" w:val="clear"/>
            <w:tcMar>
              <w:top w:type="dxa" w:w="200"/>
              <w:left w:type="dxa" w:w="200"/>
              <w:bottom w:type="dxa" w:w="200"/>
              <w:right w:type="dxa" w:w="200"/>
            </w:tcMar>
            <w:vAlign w:val="center"/>
          </w:tcPr>
          <w:p>
            <w:pPr>
              <w:jc w:val="center"/>
            </w:pPr>
            <w:r>
              <w:rPr>
                <w:rFonts w:ascii="Arial" w:cs="Arial" w:eastAsia="Arial" w:hAnsi="Arial"/>
                <w:b/>
                <w:bCs/>
                <w:color w:val="ED7D31"/>
                <w:sz w:val="28"/>
                <w:szCs w:val="28"/>
              </w:rPr>
              <w:t xml:space="preserve">LOW-MODERATE</w:t>
            </w:r>
          </w:p>
        </w:tc>
      </w:tr>
    </w:tbl>
    <w:p>
      <w:pPr>
        <w:spacing w:after="120"/>
      </w:pPr>
    </w:p>
    <w:p>
      <w:pPr>
        <w:spacing w:after="120"/>
      </w:pPr>
      <w:r>
        <w:rPr>
          <w:rFonts w:ascii="Arial" w:cs="Arial" w:eastAsia="Arial" w:hAnsi="Arial"/>
          <w:sz w:val="20"/>
          <w:szCs w:val="20"/>
        </w:rPr>
        <w:t xml:space="preserve">The site demonstrates strong security header implementation and a minimal attack surface through static hosting. The primary gap is a missing cookie consent mechanism. Overall, the site is significantly ahead of industry average.</w:t>
      </w:r>
    </w:p>
    <w:p>
      <w:r>
        <w:br w:type="page"/>
      </w:r>
    </w:p>
    <w:p>
      <w:pPr>
        <w:pStyle w:val="Heading1"/>
        <w:spacing w:after="200" w:before="360"/>
      </w:pPr>
      <w:r>
        <w:rPr>
          <w:rFonts w:ascii="Arial" w:cs="Arial" w:eastAsia="Arial" w:hAnsi="Arial"/>
          <w:b/>
          <w:bCs/>
          <w:color w:val="1B3A5C"/>
          <w:sz w:val="32"/>
          <w:szCs w:val="32"/>
        </w:rPr>
        <w:t xml:space="preserve">2. Assessment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vAlign w:val="center"/>
          </w:tcPr>
          <w:p>
            <w:r>
              <w:rPr>
                <w:rFonts w:ascii="Arial" w:cs="Arial" w:eastAsia="Arial" w:hAnsi="Arial"/>
                <w:b/>
                <w:bCs/>
                <w:sz w:val="20"/>
                <w:szCs w:val="20"/>
              </w:rPr>
              <w:t xml:space="preserve">Target</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https://aisymmetricsolutions.com/</w:t>
            </w:r>
          </w:p>
        </w:tc>
      </w:tr>
      <w:tr>
        <w:tc>
          <w:tcPr>
            <w:tcW w:type="dxa" w:w="2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vAlign w:val="center"/>
          </w:tcPr>
          <w:p>
            <w:r>
              <w:rPr>
                <w:rFonts w:ascii="Arial" w:cs="Arial" w:eastAsia="Arial" w:hAnsi="Arial"/>
                <w:b/>
                <w:bCs/>
                <w:sz w:val="20"/>
                <w:szCs w:val="20"/>
              </w:rPr>
              <w:t xml:space="preserve">Platform</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Static site (HTML/CSS/JS) hosted on Netlify</w:t>
            </w:r>
          </w:p>
        </w:tc>
      </w:tr>
      <w:tr>
        <w:tc>
          <w:tcPr>
            <w:tcW w:type="dxa" w:w="2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vAlign w:val="center"/>
          </w:tcPr>
          <w:p>
            <w:r>
              <w:rPr>
                <w:rFonts w:ascii="Arial" w:cs="Arial" w:eastAsia="Arial" w:hAnsi="Arial"/>
                <w:b/>
                <w:bCs/>
                <w:sz w:val="20"/>
                <w:szCs w:val="20"/>
              </w:rPr>
              <w:t xml:space="preserve">Assessment Type</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External/passive reconnaissance only</w:t>
            </w:r>
          </w:p>
        </w:tc>
      </w:tr>
      <w:tr>
        <w:tc>
          <w:tcPr>
            <w:tcW w:type="dxa" w:w="2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vAlign w:val="center"/>
          </w:tcPr>
          <w:p>
            <w:r>
              <w:rPr>
                <w:rFonts w:ascii="Arial" w:cs="Arial" w:eastAsia="Arial" w:hAnsi="Arial"/>
                <w:b/>
                <w:bCs/>
                <w:sz w:val="20"/>
                <w:szCs w:val="20"/>
              </w:rPr>
              <w:t xml:space="preserve">Standards Referenced</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ISO 27001:2022, ISO 27002:2022, ISO 27701:2019</w:t>
            </w:r>
          </w:p>
        </w:tc>
      </w:tr>
      <w:tr>
        <w:tc>
          <w:tcPr>
            <w:tcW w:type="dxa" w:w="2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vAlign w:val="center"/>
          </w:tcPr>
          <w:p>
            <w:r>
              <w:rPr>
                <w:rFonts w:ascii="Arial" w:cs="Arial" w:eastAsia="Arial" w:hAnsi="Arial"/>
                <w:b/>
                <w:bCs/>
                <w:sz w:val="20"/>
                <w:szCs w:val="20"/>
              </w:rPr>
              <w:t xml:space="preserve">Date</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April 15, 2026</w:t>
            </w:r>
          </w:p>
        </w:tc>
      </w:tr>
    </w:tbl>
    <w:p>
      <w:pPr>
        <w:spacing w:after="200"/>
      </w:pPr>
    </w:p>
    <w:p>
      <w:pPr>
        <w:pStyle w:val="Heading1"/>
        <w:spacing w:after="200" w:before="360"/>
      </w:pPr>
      <w:r>
        <w:rPr>
          <w:rFonts w:ascii="Arial" w:cs="Arial" w:eastAsia="Arial" w:hAnsi="Arial"/>
          <w:b/>
          <w:bCs/>
          <w:color w:val="1B3A5C"/>
          <w:sz w:val="32"/>
          <w:szCs w:val="32"/>
        </w:rPr>
        <w:t xml:space="preserve">3. Findings Summary</w:t>
      </w:r>
    </w:p>
    <w:p>
      <w:pPr>
        <w:spacing w:after="120"/>
      </w:pPr>
      <w:r>
        <w:rPr>
          <w:rFonts w:ascii="Arial" w:cs="Arial" w:eastAsia="Arial" w:hAnsi="Arial"/>
          <w:sz w:val="20"/>
          <w:szCs w:val="20"/>
        </w:rPr>
        <w:t xml:space="preserve">The following table summarizes all findings from the external assessment:</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460"/>
        <w:gridCol w:w="2300"/>
        <w:gridCol w:w="1000"/>
        <w:gridCol w:w="1800"/>
      </w:tblGrid>
      <w:tr>
        <w:tc>
          <w:tcPr>
            <w:tcW w:type="dxa" w:w="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ID</w:t>
            </w:r>
          </w:p>
        </w:tc>
        <w:tc>
          <w:tcPr>
            <w:tcW w:type="dxa" w:w="34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Finding</w:t>
            </w:r>
          </w:p>
        </w:tc>
        <w:tc>
          <w:tcPr>
            <w:tcW w:type="dxa" w:w="23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ISO Control</w:t>
            </w:r>
          </w:p>
        </w:tc>
        <w:tc>
          <w:tcPr>
            <w:tcW w:type="dxa" w:w="1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Severity</w:t>
            </w:r>
          </w:p>
        </w:tc>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Status</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sz w:val="20"/>
                <w:szCs w:val="20"/>
              </w:rPr>
              <w:t xml:space="preserve">F-001</w:t>
            </w:r>
          </w:p>
        </w:tc>
        <w:tc>
          <w:tcPr>
            <w:tcW w:type="dxa" w:w="34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No Cookie Consent Banner/Mechanism</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555555"/>
                <w:sz w:val="20"/>
                <w:szCs w:val="20"/>
              </w:rPr>
              <w:t xml:space="preserve">ISO 27701 7.2.3, 7.4.1</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color w:val="C00000"/>
                <w:sz w:val="20"/>
                <w:szCs w:val="20"/>
              </w:rPr>
              <w:t xml:space="preserve">HIGH</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color w:val="C00000"/>
                <w:sz w:val="20"/>
                <w:szCs w:val="20"/>
              </w:rPr>
              <w:t xml:space="preserve">Non-Compliant</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sz w:val="20"/>
                <w:szCs w:val="20"/>
              </w:rPr>
              <w:t xml:space="preserve">F-002</w:t>
            </w:r>
          </w:p>
        </w:tc>
        <w:tc>
          <w:tcPr>
            <w:tcW w:type="dxa" w:w="34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CSP Uses 'unsafe-inline' for Scripts</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555555"/>
                <w:sz w:val="20"/>
                <w:szCs w:val="20"/>
              </w:rPr>
              <w:t xml:space="preserve">ISO 27001 A.8.9</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color w:val="ED7D31"/>
                <w:sz w:val="20"/>
                <w:szCs w:val="20"/>
              </w:rPr>
              <w:t xml:space="preserve">MEDIUM</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color w:val="ED7D31"/>
                <w:sz w:val="20"/>
                <w:szCs w:val="20"/>
              </w:rPr>
              <w:t xml:space="preserve">Partial</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sz w:val="20"/>
                <w:szCs w:val="20"/>
              </w:rPr>
              <w:t xml:space="preserve">F-003</w:t>
            </w:r>
          </w:p>
        </w:tc>
        <w:tc>
          <w:tcPr>
            <w:tcW w:type="dxa" w:w="34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No Subresource Integrity (SRI) on Scripts</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555555"/>
                <w:sz w:val="20"/>
                <w:szCs w:val="20"/>
              </w:rPr>
              <w:t xml:space="preserve">ISO 27002 8.24</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color w:val="ED7D31"/>
                <w:sz w:val="20"/>
                <w:szCs w:val="20"/>
              </w:rPr>
              <w:t xml:space="preserve">MEDIUM</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color w:val="C00000"/>
                <w:sz w:val="20"/>
                <w:szCs w:val="20"/>
              </w:rPr>
              <w:t xml:space="preserve">Non-Compliant</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sz w:val="20"/>
                <w:szCs w:val="20"/>
              </w:rPr>
              <w:t xml:space="preserve">F-004</w:t>
            </w:r>
          </w:p>
        </w:tc>
        <w:tc>
          <w:tcPr>
            <w:tcW w:type="dxa" w:w="34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Privacy Policy Missing Breach Notification Procedures</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555555"/>
                <w:sz w:val="20"/>
                <w:szCs w:val="20"/>
              </w:rPr>
              <w:t xml:space="preserve">ISO 27701 7.3.4</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color w:val="ED7D31"/>
                <w:sz w:val="20"/>
                <w:szCs w:val="20"/>
              </w:rPr>
              <w:t xml:space="preserve">MEDIUM</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color w:val="ED7D31"/>
                <w:sz w:val="20"/>
                <w:szCs w:val="20"/>
              </w:rPr>
              <w:t xml:space="preserve">Partial</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sz w:val="20"/>
                <w:szCs w:val="20"/>
              </w:rPr>
              <w:t xml:space="preserve">F-005</w:t>
            </w:r>
          </w:p>
        </w:tc>
        <w:tc>
          <w:tcPr>
            <w:tcW w:type="dxa" w:w="34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No CAA DNS Records</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555555"/>
                <w:sz w:val="20"/>
                <w:szCs w:val="20"/>
              </w:rPr>
              <w:t xml:space="preserve">ISO 27001 A.8.24</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color w:val="548235"/>
                <w:sz w:val="20"/>
                <w:szCs w:val="20"/>
              </w:rPr>
              <w:t xml:space="preserve">LOW</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color w:val="C00000"/>
                <w:sz w:val="20"/>
                <w:szCs w:val="20"/>
              </w:rPr>
              <w:t xml:space="preserve">Non-Compliant</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sz w:val="20"/>
                <w:szCs w:val="20"/>
              </w:rPr>
              <w:t xml:space="preserve">F-006</w:t>
            </w:r>
          </w:p>
        </w:tc>
        <w:tc>
          <w:tcPr>
            <w:tcW w:type="dxa" w:w="34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Open robots.txt with No Restrictions</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555555"/>
                <w:sz w:val="20"/>
                <w:szCs w:val="20"/>
              </w:rPr>
              <w:t xml:space="preserve">ISO 27001 A.8.9</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color w:val="548235"/>
                <w:sz w:val="20"/>
                <w:szCs w:val="20"/>
              </w:rPr>
              <w:t xml:space="preserve">LOW</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color w:val="888888"/>
                <w:sz w:val="20"/>
                <w:szCs w:val="20"/>
              </w:rPr>
              <w:t xml:space="preserve">Informational</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sz w:val="20"/>
                <w:szCs w:val="20"/>
              </w:rPr>
              <w:t xml:space="preserve">F-007</w:t>
            </w:r>
          </w:p>
        </w:tc>
        <w:tc>
          <w:tcPr>
            <w:tcW w:type="dxa" w:w="34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Team Member Pages Enumerable via Sitemap</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555555"/>
                <w:sz w:val="20"/>
                <w:szCs w:val="20"/>
              </w:rPr>
              <w:t xml:space="preserve">ISO 27001 A.8.9</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color w:val="548235"/>
                <w:sz w:val="20"/>
                <w:szCs w:val="20"/>
              </w:rPr>
              <w:t xml:space="preserve">LOW</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color w:val="888888"/>
                <w:sz w:val="20"/>
                <w:szCs w:val="20"/>
              </w:rPr>
              <w:t xml:space="preserve">Informational</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sz w:val="20"/>
                <w:szCs w:val="20"/>
              </w:rPr>
              <w:t xml:space="preserve">F-008</w:t>
            </w:r>
          </w:p>
        </w:tc>
        <w:tc>
          <w:tcPr>
            <w:tcW w:type="dxa" w:w="34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SSL Certificate Short Validity (90-day)</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555555"/>
                <w:sz w:val="20"/>
                <w:szCs w:val="20"/>
              </w:rPr>
              <w:t xml:space="preserve">ISO 27001 A.8.24</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color w:val="548235"/>
                <w:sz w:val="20"/>
                <w:szCs w:val="20"/>
              </w:rPr>
              <w:t xml:space="preserve">LOW</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color w:val="888888"/>
                <w:sz w:val="20"/>
                <w:szCs w:val="20"/>
              </w:rPr>
              <w:t xml:space="preserve">Observation</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sz w:val="20"/>
                <w:szCs w:val="20"/>
              </w:rPr>
              <w:t xml:space="preserve">F-009</w:t>
            </w:r>
          </w:p>
        </w:tc>
        <w:tc>
          <w:tcPr>
            <w:tcW w:type="dxa" w:w="34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Contact Form Lacks Visible CSRF Token</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555555"/>
                <w:sz w:val="20"/>
                <w:szCs w:val="20"/>
              </w:rPr>
              <w:t xml:space="preserve">ISO 27001 A.8.26</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color w:val="548235"/>
                <w:sz w:val="20"/>
                <w:szCs w:val="20"/>
              </w:rPr>
              <w:t xml:space="preserve">LOW</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color w:val="888888"/>
                <w:sz w:val="20"/>
                <w:szCs w:val="20"/>
              </w:rPr>
              <w:t xml:space="preserve">Observation</w:t>
            </w:r>
          </w:p>
        </w:tc>
      </w:tr>
    </w:tbl>
    <w:p>
      <w:pPr>
        <w:spacing w:after="100"/>
      </w:pPr>
    </w:p>
    <w:p>
      <w:pPr>
        <w:spacing w:after="120"/>
      </w:pPr>
      <w:r>
        <w:rPr>
          <w:rFonts w:ascii="Arial" w:cs="Arial" w:eastAsia="Arial" w:hAnsi="Arial"/>
          <w:b/>
          <w:bCs/>
          <w:sz w:val="20"/>
          <w:szCs w:val="20"/>
        </w:rPr>
        <w:t xml:space="preserve">Summary: </w:t>
      </w:r>
      <w:r>
        <w:rPr>
          <w:rFonts w:ascii="Arial" w:cs="Arial" w:eastAsia="Arial" w:hAnsi="Arial"/>
          <w:b/>
          <w:bCs/>
          <w:color w:val="C00000"/>
          <w:sz w:val="20"/>
          <w:szCs w:val="20"/>
        </w:rPr>
        <w:t xml:space="preserve">1 HIGH</w:t>
      </w:r>
      <w:r>
        <w:rPr>
          <w:rFonts w:ascii="Arial" w:cs="Arial" w:eastAsia="Arial" w:hAnsi="Arial"/>
          <w:sz w:val="20"/>
          <w:szCs w:val="20"/>
        </w:rPr>
        <w:t xml:space="preserve"> | </w:t>
      </w:r>
      <w:r>
        <w:rPr>
          <w:rFonts w:ascii="Arial" w:cs="Arial" w:eastAsia="Arial" w:hAnsi="Arial"/>
          <w:b/>
          <w:bCs/>
          <w:color w:val="ED7D31"/>
          <w:sz w:val="20"/>
          <w:szCs w:val="20"/>
        </w:rPr>
        <w:t xml:space="preserve">3 MEDIUM</w:t>
      </w:r>
      <w:r>
        <w:rPr>
          <w:rFonts w:ascii="Arial" w:cs="Arial" w:eastAsia="Arial" w:hAnsi="Arial"/>
          <w:sz w:val="20"/>
          <w:szCs w:val="20"/>
        </w:rPr>
        <w:t xml:space="preserve"> | </w:t>
      </w:r>
      <w:r>
        <w:rPr>
          <w:rFonts w:ascii="Arial" w:cs="Arial" w:eastAsia="Arial" w:hAnsi="Arial"/>
          <w:b/>
          <w:bCs/>
          <w:color w:val="548235"/>
          <w:sz w:val="20"/>
          <w:szCs w:val="20"/>
        </w:rPr>
        <w:t xml:space="preserve">5 LOW/Informational</w:t>
      </w:r>
    </w:p>
    <w:p>
      <w:r>
        <w:br w:type="page"/>
      </w:r>
    </w:p>
    <w:p>
      <w:pPr>
        <w:pStyle w:val="Heading1"/>
        <w:spacing w:after="200" w:before="360"/>
      </w:pPr>
      <w:r>
        <w:rPr>
          <w:rFonts w:ascii="Arial" w:cs="Arial" w:eastAsia="Arial" w:hAnsi="Arial"/>
          <w:b/>
          <w:bCs/>
          <w:color w:val="1B3A5C"/>
          <w:sz w:val="32"/>
          <w:szCs w:val="32"/>
        </w:rPr>
        <w:t xml:space="preserve">4. Detailed Findings</w:t>
      </w:r>
    </w:p>
    <w:p>
      <w:pPr>
        <w:pStyle w:val="Heading2"/>
        <w:spacing w:after="160" w:before="280"/>
      </w:pPr>
      <w:r>
        <w:rPr>
          <w:rFonts w:ascii="Arial" w:cs="Arial" w:eastAsia="Arial" w:hAnsi="Arial"/>
          <w:b/>
          <w:bCs/>
          <w:color w:val="2E75B6"/>
          <w:sz w:val="26"/>
          <w:szCs w:val="26"/>
        </w:rPr>
        <w:t xml:space="preserve">F-001: No Cookie Consent Banner/Mechanism</w:t>
      </w:r>
    </w:p>
    <w:p>
      <w:pPr>
        <w:spacing w:after="120"/>
      </w:pPr>
      <w:r>
        <w:rPr>
          <w:rFonts w:ascii="Arial" w:cs="Arial" w:eastAsia="Arial" w:hAnsi="Arial"/>
          <w:b/>
          <w:bCs/>
          <w:sz w:val="20"/>
          <w:szCs w:val="20"/>
        </w:rPr>
        <w:t xml:space="preserve">ISO Reference: </w:t>
      </w:r>
      <w:r>
        <w:rPr>
          <w:rFonts w:ascii="Arial" w:cs="Arial" w:eastAsia="Arial" w:hAnsi="Arial"/>
          <w:sz w:val="20"/>
          <w:szCs w:val="20"/>
        </w:rPr>
        <w:t xml:space="preserve">ISO 27701 7.2.3 (Consent), 7.4.1 (Limit collection)</w:t>
      </w:r>
    </w:p>
    <w:p>
      <w:pPr>
        <w:spacing w:after="120"/>
      </w:pPr>
      <w:r>
        <w:rPr>
          <w:rFonts w:ascii="Arial" w:cs="Arial" w:eastAsia="Arial" w:hAnsi="Arial"/>
          <w:b/>
          <w:bCs/>
          <w:sz w:val="20"/>
          <w:szCs w:val="20"/>
        </w:rPr>
        <w:t xml:space="preserve">Severity: </w:t>
      </w:r>
      <w:r>
        <w:rPr>
          <w:rFonts w:ascii="Arial" w:cs="Arial" w:eastAsia="Arial" w:hAnsi="Arial"/>
          <w:b/>
          <w:bCs/>
          <w:color w:val="C00000"/>
          <w:sz w:val="20"/>
          <w:szCs w:val="20"/>
        </w:rPr>
        <w:t xml:space="preserve">HIGH</w:t>
      </w:r>
    </w:p>
    <w:p>
      <w:pPr>
        <w:spacing w:after="100"/>
      </w:pPr>
    </w:p>
    <w:p>
      <w:pPr>
        <w:spacing w:after="120"/>
      </w:pPr>
      <w:r>
        <w:rPr>
          <w:rFonts w:ascii="Arial" w:cs="Arial" w:eastAsia="Arial" w:hAnsi="Arial"/>
          <w:sz w:val="20"/>
          <w:szCs w:val="20"/>
        </w:rPr>
        <w:t xml:space="preserve">The website loads Google Tag Manager (G-CVF4MDVKJS) and Google Analytics tracking scripts immediately on page load without presenting any cookie consent banner or opt-in/opt-out mechanism to visitors.</w:t>
      </w:r>
    </w:p>
    <w:p>
      <w:pPr>
        <w:spacing w:after="120"/>
      </w:pPr>
      <w:r>
        <w:rPr>
          <w:rFonts w:ascii="Arial" w:cs="Arial" w:eastAsia="Arial" w:hAnsi="Arial"/>
          <w:sz w:val="20"/>
          <w:szCs w:val="20"/>
        </w:rPr>
        <w:t xml:space="preserve">While the privacy policy acknowledges the use of cookies and analytics, no active consent mechanism exists to give visitors control before tracking begins.</w:t>
      </w:r>
    </w:p>
    <w:p>
      <w:pPr>
        <w:spacing w:after="120" w:before="200"/>
      </w:pPr>
      <w:r>
        <w:rPr>
          <w:rFonts w:ascii="Arial" w:cs="Arial" w:eastAsia="Arial" w:hAnsi="Arial"/>
          <w:b/>
          <w:bCs/>
          <w:color w:val="1B3A5C"/>
          <w:sz w:val="22"/>
          <w:szCs w:val="22"/>
        </w:rPr>
        <w:t xml:space="preserve">Risk</w:t>
      </w:r>
    </w:p>
    <w:p>
      <w:pPr>
        <w:spacing w:after="120"/>
      </w:pPr>
      <w:r>
        <w:rPr>
          <w:rFonts w:ascii="Arial" w:cs="Arial" w:eastAsia="Arial" w:hAnsi="Arial"/>
          <w:sz w:val="20"/>
          <w:szCs w:val="20"/>
        </w:rPr>
        <w:t xml:space="preserve">Non-compliant with GDPR, CCPA, and ISO 27701 privacy controls. This is the only HIGH severity finding and represents primarily a regulatory/legal risk.</w:t>
      </w:r>
    </w:p>
    <w:p>
      <w:pPr>
        <w:spacing w:after="120" w:before="200"/>
      </w:pPr>
      <w:r>
        <w:rPr>
          <w:rFonts w:ascii="Arial" w:cs="Arial" w:eastAsia="Arial" w:hAnsi="Arial"/>
          <w:b/>
          <w:bCs/>
          <w:color w:val="1B3A5C"/>
          <w:sz w:val="22"/>
          <w:szCs w:val="22"/>
        </w:rPr>
        <w:t xml:space="preserve">Recommendation</w:t>
      </w:r>
    </w:p>
    <w:p>
      <w:pPr>
        <w:spacing w:after="120"/>
      </w:pPr>
      <w:r>
        <w:rPr>
          <w:rFonts w:ascii="Arial" w:cs="Arial" w:eastAsia="Arial" w:hAnsi="Arial"/>
          <w:sz w:val="20"/>
          <w:szCs w:val="20"/>
        </w:rPr>
        <w:t xml:space="preserve">Implement a cookie consent management platform (e.g., Cookiebot, OneTrust) that blocks GTM/GA scripts until explicit consent is given. Netlify supports this via snippet injection.</w:t>
      </w:r>
    </w:p>
    <w:p>
      <w:pPr>
        <w:spacing w:after="200"/>
      </w:pPr>
    </w:p>
    <w:p>
      <w:pPr>
        <w:pStyle w:val="Heading2"/>
        <w:spacing w:after="160" w:before="280"/>
      </w:pPr>
      <w:r>
        <w:rPr>
          <w:rFonts w:ascii="Arial" w:cs="Arial" w:eastAsia="Arial" w:hAnsi="Arial"/>
          <w:b/>
          <w:bCs/>
          <w:color w:val="2E75B6"/>
          <w:sz w:val="26"/>
          <w:szCs w:val="26"/>
        </w:rPr>
        <w:t xml:space="preserve">F-002: CSP Uses 'unsafe-inline' for Scripts</w:t>
      </w:r>
    </w:p>
    <w:p>
      <w:pPr>
        <w:spacing w:after="120"/>
      </w:pPr>
      <w:r>
        <w:rPr>
          <w:rFonts w:ascii="Arial" w:cs="Arial" w:eastAsia="Arial" w:hAnsi="Arial"/>
          <w:b/>
          <w:bCs/>
          <w:sz w:val="20"/>
          <w:szCs w:val="20"/>
        </w:rPr>
        <w:t xml:space="preserve">ISO Reference: </w:t>
      </w:r>
      <w:r>
        <w:rPr>
          <w:rFonts w:ascii="Arial" w:cs="Arial" w:eastAsia="Arial" w:hAnsi="Arial"/>
          <w:sz w:val="20"/>
          <w:szCs w:val="20"/>
        </w:rPr>
        <w:t xml:space="preserve">ISO 27001 A.8.9 (Configuration management)</w:t>
      </w:r>
    </w:p>
    <w:p>
      <w:pPr>
        <w:spacing w:after="120"/>
      </w:pPr>
      <w:r>
        <w:rPr>
          <w:rFonts w:ascii="Arial" w:cs="Arial" w:eastAsia="Arial" w:hAnsi="Arial"/>
          <w:b/>
          <w:bCs/>
          <w:sz w:val="20"/>
          <w:szCs w:val="20"/>
        </w:rPr>
        <w:t xml:space="preserve">Severity: </w:t>
      </w:r>
      <w:r>
        <w:rPr>
          <w:rFonts w:ascii="Arial" w:cs="Arial" w:eastAsia="Arial" w:hAnsi="Arial"/>
          <w:b/>
          <w:bCs/>
          <w:color w:val="ED7D31"/>
          <w:sz w:val="20"/>
          <w:szCs w:val="20"/>
        </w:rPr>
        <w:t xml:space="preserve">MEDIUM</w:t>
      </w:r>
    </w:p>
    <w:p>
      <w:pPr>
        <w:spacing w:after="100"/>
      </w:pPr>
    </w:p>
    <w:p>
      <w:pPr>
        <w:spacing w:after="120"/>
      </w:pPr>
      <w:r>
        <w:rPr>
          <w:rFonts w:ascii="Arial" w:cs="Arial" w:eastAsia="Arial" w:hAnsi="Arial"/>
          <w:sz w:val="20"/>
          <w:szCs w:val="20"/>
        </w:rPr>
        <w:t xml:space="preserve">The Content-Security-Policy header includes 'unsafe-inline' in the script-src directive. While the CSP is otherwise well-constructed (frame-ancestors 'none', form-action 'self', restrictive default-src), allowing unsafe-inline partially negates XSS protection.</w:t>
      </w:r>
    </w:p>
    <w:p>
      <w:pPr>
        <w:spacing w:after="120" w:before="200"/>
      </w:pPr>
      <w:r>
        <w:rPr>
          <w:rFonts w:ascii="Arial" w:cs="Arial" w:eastAsia="Arial" w:hAnsi="Arial"/>
          <w:b/>
          <w:bCs/>
          <w:color w:val="1B3A5C"/>
          <w:sz w:val="22"/>
          <w:szCs w:val="22"/>
        </w:rPr>
        <w:t xml:space="preserve">Evidence</w:t>
      </w:r>
    </w:p>
    <w:p>
      <w:pPr>
        <w:spacing w:after="120"/>
      </w:pPr>
      <w:r>
        <w:rPr>
          <w:rFonts w:ascii="Arial" w:cs="Arial" w:eastAsia="Arial" w:hAnsi="Arial"/>
          <w:sz w:val="20"/>
          <w:szCs w:val="20"/>
        </w:rPr>
        <w:t xml:space="preserve">script-src 'self' 'unsafe-inline' https://www.googletagmanager.com https://www.google-analytics.com</w:t>
      </w:r>
    </w:p>
    <w:p>
      <w:pPr>
        <w:spacing w:after="120" w:before="200"/>
      </w:pPr>
      <w:r>
        <w:rPr>
          <w:rFonts w:ascii="Arial" w:cs="Arial" w:eastAsia="Arial" w:hAnsi="Arial"/>
          <w:b/>
          <w:bCs/>
          <w:color w:val="1B3A5C"/>
          <w:sz w:val="22"/>
          <w:szCs w:val="22"/>
        </w:rPr>
        <w:t xml:space="preserve">Recommendation</w:t>
      </w:r>
    </w:p>
    <w:p>
      <w:pPr>
        <w:spacing w:after="120"/>
      </w:pPr>
      <w:r>
        <w:rPr>
          <w:rFonts w:ascii="Arial" w:cs="Arial" w:eastAsia="Arial" w:hAnsi="Arial"/>
          <w:sz w:val="20"/>
          <w:szCs w:val="20"/>
        </w:rPr>
        <w:t xml:space="preserve">Replace 'unsafe-inline' with nonce-based or hash-based CSP for inline scripts. This requires generating a nonce per-page-load or using Netlify edge functions.</w:t>
      </w:r>
    </w:p>
    <w:p>
      <w:pPr>
        <w:spacing w:after="200"/>
      </w:pPr>
    </w:p>
    <w:p>
      <w:pPr>
        <w:pStyle w:val="Heading2"/>
        <w:spacing w:after="160" w:before="280"/>
      </w:pPr>
      <w:r>
        <w:rPr>
          <w:rFonts w:ascii="Arial" w:cs="Arial" w:eastAsia="Arial" w:hAnsi="Arial"/>
          <w:b/>
          <w:bCs/>
          <w:color w:val="2E75B6"/>
          <w:sz w:val="26"/>
          <w:szCs w:val="26"/>
        </w:rPr>
        <w:t xml:space="preserve">F-003: No Subresource Integrity (SRI) on Scripts</w:t>
      </w:r>
    </w:p>
    <w:p>
      <w:pPr>
        <w:spacing w:after="120"/>
      </w:pPr>
      <w:r>
        <w:rPr>
          <w:rFonts w:ascii="Arial" w:cs="Arial" w:eastAsia="Arial" w:hAnsi="Arial"/>
          <w:b/>
          <w:bCs/>
          <w:sz w:val="20"/>
          <w:szCs w:val="20"/>
        </w:rPr>
        <w:t xml:space="preserve">ISO Reference: </w:t>
      </w:r>
      <w:r>
        <w:rPr>
          <w:rFonts w:ascii="Arial" w:cs="Arial" w:eastAsia="Arial" w:hAnsi="Arial"/>
          <w:sz w:val="20"/>
          <w:szCs w:val="20"/>
        </w:rPr>
        <w:t xml:space="preserve">ISO 27002 8.24 (Use of cryptography)</w:t>
      </w:r>
    </w:p>
    <w:p>
      <w:pPr>
        <w:spacing w:after="120"/>
      </w:pPr>
      <w:r>
        <w:rPr>
          <w:rFonts w:ascii="Arial" w:cs="Arial" w:eastAsia="Arial" w:hAnsi="Arial"/>
          <w:b/>
          <w:bCs/>
          <w:sz w:val="20"/>
          <w:szCs w:val="20"/>
        </w:rPr>
        <w:t xml:space="preserve">Severity: </w:t>
      </w:r>
      <w:r>
        <w:rPr>
          <w:rFonts w:ascii="Arial" w:cs="Arial" w:eastAsia="Arial" w:hAnsi="Arial"/>
          <w:b/>
          <w:bCs/>
          <w:color w:val="ED7D31"/>
          <w:sz w:val="20"/>
          <w:szCs w:val="20"/>
        </w:rPr>
        <w:t xml:space="preserve">MEDIUM</w:t>
      </w:r>
    </w:p>
    <w:p>
      <w:pPr>
        <w:spacing w:after="100"/>
      </w:pPr>
    </w:p>
    <w:p>
      <w:pPr>
        <w:spacing w:after="120"/>
      </w:pPr>
      <w:r>
        <w:rPr>
          <w:rFonts w:ascii="Arial" w:cs="Arial" w:eastAsia="Arial" w:hAnsi="Arial"/>
          <w:sz w:val="20"/>
          <w:szCs w:val="20"/>
        </w:rPr>
        <w:t xml:space="preserve">External scripts loaded from Google Tag Manager and Google Analytics do not include integrity attributes (SRI hashes). If these CDN endpoints were compromised, modified scripts would load without detection.</w:t>
      </w:r>
    </w:p>
    <w:p>
      <w:pPr>
        <w:spacing w:after="120" w:before="200"/>
      </w:pPr>
      <w:r>
        <w:rPr>
          <w:rFonts w:ascii="Arial" w:cs="Arial" w:eastAsia="Arial" w:hAnsi="Arial"/>
          <w:b/>
          <w:bCs/>
          <w:color w:val="1B3A5C"/>
          <w:sz w:val="22"/>
          <w:szCs w:val="22"/>
        </w:rPr>
        <w:t xml:space="preserve">Recommendation</w:t>
      </w:r>
    </w:p>
    <w:p>
      <w:pPr>
        <w:spacing w:after="120"/>
      </w:pPr>
      <w:r>
        <w:rPr>
          <w:rFonts w:ascii="Arial" w:cs="Arial" w:eastAsia="Arial" w:hAnsi="Arial"/>
          <w:sz w:val="20"/>
          <w:szCs w:val="20"/>
        </w:rPr>
        <w:t xml:space="preserve">Add integrity and crossorigin attributes to external script tags. Consider self-hosting the GA script as an alternative since GTM dynamically loads additional scripts.</w:t>
      </w:r>
    </w:p>
    <w:p>
      <w:pPr>
        <w:spacing w:after="200"/>
      </w:pPr>
    </w:p>
    <w:p>
      <w:pPr>
        <w:pStyle w:val="Heading2"/>
        <w:spacing w:after="160" w:before="280"/>
      </w:pPr>
      <w:r>
        <w:rPr>
          <w:rFonts w:ascii="Arial" w:cs="Arial" w:eastAsia="Arial" w:hAnsi="Arial"/>
          <w:b/>
          <w:bCs/>
          <w:color w:val="2E75B6"/>
          <w:sz w:val="26"/>
          <w:szCs w:val="26"/>
        </w:rPr>
        <w:t xml:space="preserve">F-004: Privacy Policy Missing Breach Notification Procedures</w:t>
      </w:r>
    </w:p>
    <w:p>
      <w:pPr>
        <w:spacing w:after="120"/>
      </w:pPr>
      <w:r>
        <w:rPr>
          <w:rFonts w:ascii="Arial" w:cs="Arial" w:eastAsia="Arial" w:hAnsi="Arial"/>
          <w:b/>
          <w:bCs/>
          <w:sz w:val="20"/>
          <w:szCs w:val="20"/>
        </w:rPr>
        <w:t xml:space="preserve">ISO Reference: </w:t>
      </w:r>
      <w:r>
        <w:rPr>
          <w:rFonts w:ascii="Arial" w:cs="Arial" w:eastAsia="Arial" w:hAnsi="Arial"/>
          <w:sz w:val="20"/>
          <w:szCs w:val="20"/>
        </w:rPr>
        <w:t xml:space="preserve">ISO 27701 7.3.4</w:t>
      </w:r>
    </w:p>
    <w:p>
      <w:pPr>
        <w:spacing w:after="120"/>
      </w:pPr>
      <w:r>
        <w:rPr>
          <w:rFonts w:ascii="Arial" w:cs="Arial" w:eastAsia="Arial" w:hAnsi="Arial"/>
          <w:b/>
          <w:bCs/>
          <w:sz w:val="20"/>
          <w:szCs w:val="20"/>
        </w:rPr>
        <w:t xml:space="preserve">Severity: </w:t>
      </w:r>
      <w:r>
        <w:rPr>
          <w:rFonts w:ascii="Arial" w:cs="Arial" w:eastAsia="Arial" w:hAnsi="Arial"/>
          <w:b/>
          <w:bCs/>
          <w:color w:val="ED7D31"/>
          <w:sz w:val="20"/>
          <w:szCs w:val="20"/>
        </w:rPr>
        <w:t xml:space="preserve">MEDIUM</w:t>
      </w:r>
    </w:p>
    <w:p>
      <w:pPr>
        <w:spacing w:after="100"/>
      </w:pPr>
    </w:p>
    <w:p>
      <w:pPr>
        <w:spacing w:after="120"/>
      </w:pPr>
      <w:r>
        <w:rPr>
          <w:rFonts w:ascii="Arial" w:cs="Arial" w:eastAsia="Arial" w:hAnsi="Arial"/>
          <w:sz w:val="20"/>
          <w:szCs w:val="20"/>
        </w:rPr>
        <w:t xml:space="preserve">The privacy policy and terms reference security breaches in the Acceptable Use Policy (clients must notify AISymmetric of breaches), but there is no dedicated section describing AISymmetric’s own breach notification procedures — timeline, method, and content of notifications.</w:t>
      </w:r>
    </w:p>
    <w:p>
      <w:pPr>
        <w:spacing w:after="120"/>
      </w:pPr>
      <w:r>
        <w:rPr>
          <w:rFonts w:ascii="Arial" w:cs="Arial" w:eastAsia="Arial" w:hAnsi="Arial"/>
          <w:b/>
          <w:bCs/>
          <w:color w:val="548235"/>
          <w:sz w:val="20"/>
          <w:szCs w:val="20"/>
        </w:rPr>
        <w:t xml:space="preserve">Partial credit: </w:t>
      </w:r>
      <w:r>
        <w:rPr>
          <w:rFonts w:ascii="Arial" w:cs="Arial" w:eastAsia="Arial" w:hAnsi="Arial"/>
          <w:sz w:val="20"/>
          <w:szCs w:val="20"/>
        </w:rPr>
        <w:t xml:space="preserve">The AUP does reference breach reporting obligations, and the overall privacy policy is well-structured with data retention, third-party disclosures, and user rights sections.</w:t>
      </w:r>
    </w:p>
    <w:p>
      <w:pPr>
        <w:spacing w:after="120" w:before="200"/>
      </w:pPr>
      <w:r>
        <w:rPr>
          <w:rFonts w:ascii="Arial" w:cs="Arial" w:eastAsia="Arial" w:hAnsi="Arial"/>
          <w:b/>
          <w:bCs/>
          <w:color w:val="1B3A5C"/>
          <w:sz w:val="22"/>
          <w:szCs w:val="22"/>
        </w:rPr>
        <w:t xml:space="preserve">Recommendation</w:t>
      </w:r>
    </w:p>
    <w:p>
      <w:pPr>
        <w:spacing w:after="120"/>
      </w:pPr>
      <w:r>
        <w:rPr>
          <w:rFonts w:ascii="Arial" w:cs="Arial" w:eastAsia="Arial" w:hAnsi="Arial"/>
          <w:sz w:val="20"/>
          <w:szCs w:val="20"/>
        </w:rPr>
        <w:t xml:space="preserve">Add a dedicated Data Breach Notification section specifying: notification timeline (e.g., 72 hours per GDPR), notification method, and what information will be communicated.</w:t>
      </w:r>
    </w:p>
    <w:p>
      <w:pPr>
        <w:spacing w:after="200"/>
      </w:pPr>
    </w:p>
    <w:p>
      <w:pPr>
        <w:pStyle w:val="Heading2"/>
        <w:spacing w:after="160" w:before="280"/>
      </w:pPr>
      <w:r>
        <w:rPr>
          <w:rFonts w:ascii="Arial" w:cs="Arial" w:eastAsia="Arial" w:hAnsi="Arial"/>
          <w:b/>
          <w:bCs/>
          <w:color w:val="2E75B6"/>
          <w:sz w:val="26"/>
          <w:szCs w:val="26"/>
        </w:rPr>
        <w:t xml:space="preserve">F-005 through F-009: Lower Severity Findings</w:t>
      </w:r>
    </w:p>
    <w:p>
      <w:pPr>
        <w:pStyle w:val="ListParagraph"/>
        <w:numPr>
          <w:ilvl w:val="0"/>
          <w:numId w:val="2"/>
        </w:numPr>
        <w:spacing w:after="50"/>
      </w:pPr>
      <w:r>
        <w:rPr>
          <w:rFonts w:ascii="Arial" w:cs="Arial" w:eastAsia="Arial" w:hAnsi="Arial"/>
          <w:sz w:val="20"/>
          <w:szCs w:val="20"/>
        </w:rPr>
        <w:t xml:space="preserve">F-005: No CAA DNS records — any Certificate Authority could issue certificates for the domain. Add CAA records restricting issuance to Let’s Encrypt.</w:t>
      </w:r>
    </w:p>
    <w:p>
      <w:pPr>
        <w:pStyle w:val="ListParagraph"/>
        <w:numPr>
          <w:ilvl w:val="0"/>
          <w:numId w:val="2"/>
        </w:numPr>
        <w:spacing w:after="50"/>
      </w:pPr>
      <w:r>
        <w:rPr>
          <w:rFonts w:ascii="Arial" w:cs="Arial" w:eastAsia="Arial" w:hAnsi="Arial"/>
          <w:sz w:val="20"/>
          <w:szCs w:val="20"/>
        </w:rPr>
        <w:t xml:space="preserve">F-006: robots.txt has empty Disallow (allows all crawling). Review whether any paths should be restricted.</w:t>
      </w:r>
    </w:p>
    <w:p>
      <w:pPr>
        <w:pStyle w:val="ListParagraph"/>
        <w:numPr>
          <w:ilvl w:val="0"/>
          <w:numId w:val="2"/>
        </w:numPr>
        <w:spacing w:after="50"/>
      </w:pPr>
      <w:r>
        <w:rPr>
          <w:rFonts w:ascii="Arial" w:cs="Arial" w:eastAsia="Arial" w:hAnsi="Arial"/>
          <w:sz w:val="20"/>
          <w:szCs w:val="20"/>
        </w:rPr>
        <w:t xml:space="preserve">F-007: Sitemap.xml enumerates individual team member pages (/tyler, /shawn, /kyah, /joey). While intentionally public, worth noting.</w:t>
      </w:r>
    </w:p>
    <w:p>
      <w:pPr>
        <w:pStyle w:val="ListParagraph"/>
        <w:numPr>
          <w:ilvl w:val="0"/>
          <w:numId w:val="2"/>
        </w:numPr>
        <w:spacing w:after="50"/>
      </w:pPr>
      <w:r>
        <w:rPr>
          <w:rFonts w:ascii="Arial" w:cs="Arial" w:eastAsia="Arial" w:hAnsi="Arial"/>
          <w:sz w:val="20"/>
          <w:szCs w:val="20"/>
        </w:rPr>
        <w:t xml:space="preserve">F-008: Let’s Encrypt 90-day certificate is valid. Netlify handles renewal automatically, which is a positive.</w:t>
      </w:r>
    </w:p>
    <w:p>
      <w:pPr>
        <w:pStyle w:val="ListParagraph"/>
        <w:numPr>
          <w:ilvl w:val="0"/>
          <w:numId w:val="2"/>
        </w:numPr>
        <w:spacing w:after="50"/>
      </w:pPr>
      <w:r>
        <w:rPr>
          <w:rFonts w:ascii="Arial" w:cs="Arial" w:eastAsia="Arial" w:hAnsi="Arial"/>
          <w:sz w:val="20"/>
          <w:szCs w:val="20"/>
        </w:rPr>
        <w:t xml:space="preserve">F-009: Contact form uses Netlify Forms with no visible CSRF token in HTML. Netlify handles CSRF server-side, making this an observation only.</w:t>
      </w:r>
    </w:p>
    <w:p>
      <w:r>
        <w:br w:type="page"/>
      </w:r>
    </w:p>
    <w:p>
      <w:pPr>
        <w:pStyle w:val="Heading1"/>
        <w:spacing w:after="200" w:before="360"/>
      </w:pPr>
      <w:r>
        <w:rPr>
          <w:rFonts w:ascii="Arial" w:cs="Arial" w:eastAsia="Arial" w:hAnsi="Arial"/>
          <w:b/>
          <w:bCs/>
          <w:color w:val="1B3A5C"/>
          <w:sz w:val="32"/>
          <w:szCs w:val="32"/>
        </w:rPr>
        <w:t xml:space="preserve">5. Positive Findings</w:t>
      </w:r>
    </w:p>
    <w:p>
      <w:pPr>
        <w:spacing w:after="120"/>
      </w:pPr>
      <w:r>
        <w:rPr>
          <w:rFonts w:ascii="Arial" w:cs="Arial" w:eastAsia="Arial" w:hAnsi="Arial"/>
          <w:sz w:val="20"/>
          <w:szCs w:val="20"/>
        </w:rPr>
        <w:t xml:space="preserve">The site demonstrates strong security posture across the majority of ISO controls. 17 controls properly implemented:</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000"/>
        <w:gridCol w:w="5560"/>
      </w:tblGrid>
      <w:tr>
        <w:tc>
          <w:tcPr>
            <w:tcW w:type="dxa" w:w="2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Control</w:t>
            </w:r>
          </w:p>
        </w:tc>
        <w:tc>
          <w:tcPr>
            <w:tcW w:type="dxa" w:w="1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Status</w:t>
            </w:r>
          </w:p>
        </w:tc>
        <w:tc>
          <w:tcPr>
            <w:tcW w:type="dxa" w:w="55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sz w:val="20"/>
                <w:szCs w:val="20"/>
              </w:rPr>
              <w:t xml:space="preserve">HTTPS Enforcement</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color w:val="548235"/>
                <w:sz w:val="20"/>
                <w:szCs w:val="20"/>
              </w:rPr>
              <w:t xml:space="preserve">PASS</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HTTP 301 redirects to HTTPS; www redirects to bare domain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sz w:val="20"/>
                <w:szCs w:val="20"/>
              </w:rPr>
              <w:t xml:space="preserve">HSTS Header</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color w:val="548235"/>
                <w:sz w:val="20"/>
                <w:szCs w:val="20"/>
              </w:rPr>
              <w:t xml:space="preserve">PASS</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max-age=31536000; includeSubDomains; preload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sz w:val="20"/>
                <w:szCs w:val="20"/>
              </w:rPr>
              <w:t xml:space="preserve">Content Security Policy</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color w:val="548235"/>
                <w:sz w:val="20"/>
                <w:szCs w:val="20"/>
              </w:rPr>
              <w:t xml:space="preserve">PASS</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Comprehensive CSP with frame-ancestors 'none', form-action 'self'</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sz w:val="20"/>
                <w:szCs w:val="20"/>
              </w:rPr>
              <w:t xml:space="preserve">X-Frame-Options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color w:val="548235"/>
                <w:sz w:val="20"/>
                <w:szCs w:val="20"/>
              </w:rPr>
              <w:t xml:space="preserve">PASS</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DENY — prevents clickjacking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sz w:val="20"/>
                <w:szCs w:val="20"/>
              </w:rPr>
              <w:t xml:space="preserve">X-Content-Type-Options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color w:val="548235"/>
                <w:sz w:val="20"/>
                <w:szCs w:val="20"/>
              </w:rPr>
              <w:t xml:space="preserve">PASS</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nosniff</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sz w:val="20"/>
                <w:szCs w:val="20"/>
              </w:rPr>
              <w:t xml:space="preserve">X-XSS-Protection</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color w:val="548235"/>
                <w:sz w:val="20"/>
                <w:szCs w:val="20"/>
              </w:rPr>
              <w:t xml:space="preserve">PASS</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1; mode=block</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sz w:val="20"/>
                <w:szCs w:val="20"/>
              </w:rPr>
              <w:t xml:space="preserve">Referrer-Policy</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color w:val="548235"/>
                <w:sz w:val="20"/>
                <w:szCs w:val="20"/>
              </w:rPr>
              <w:t xml:space="preserve">PASS</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strict-origin-when-cross-origin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sz w:val="20"/>
                <w:szCs w:val="20"/>
              </w:rPr>
              <w:t xml:space="preserve">Permissions-Policy</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color w:val="548235"/>
                <w:sz w:val="20"/>
                <w:szCs w:val="20"/>
              </w:rPr>
              <w:t xml:space="preserve">PASS</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Denies camera, microphone, geolocation, payment, USB, etc.</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sz w:val="20"/>
                <w:szCs w:val="20"/>
              </w:rPr>
              <w:t xml:space="preserve">TLS Configuration</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color w:val="548235"/>
                <w:sz w:val="20"/>
                <w:szCs w:val="20"/>
              </w:rPr>
              <w:t xml:space="preserve">PASS</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TLS 1.2 and 1.3 only; TLS 1.0/1.1 disabled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sz w:val="20"/>
                <w:szCs w:val="20"/>
              </w:rPr>
              <w:t xml:space="preserve">No Admin/Login Exposed</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color w:val="548235"/>
                <w:sz w:val="20"/>
                <w:szCs w:val="20"/>
              </w:rPr>
              <w:t xml:space="preserve">PASS</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All admin paths return 404 (static site on Netlify)</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sz w:val="20"/>
                <w:szCs w:val="20"/>
              </w:rPr>
              <w:t xml:space="preserve">No Version Disclosure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color w:val="548235"/>
                <w:sz w:val="20"/>
                <w:szCs w:val="20"/>
              </w:rPr>
              <w:t xml:space="preserve">PASS</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No generator tags or version strings in scripts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sz w:val="20"/>
                <w:szCs w:val="20"/>
              </w:rPr>
              <w:t xml:space="preserve">No Mixed Content</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color w:val="548235"/>
                <w:sz w:val="20"/>
                <w:szCs w:val="20"/>
              </w:rPr>
              <w:t xml:space="preserve">PASS</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No HTTP resources on HTTPS pages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sz w:val="20"/>
                <w:szCs w:val="20"/>
              </w:rPr>
              <w:t xml:space="preserve">No Tracking IDs in URLs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color w:val="548235"/>
                <w:sz w:val="20"/>
                <w:szCs w:val="20"/>
              </w:rPr>
              <w:t xml:space="preserve">PASS</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No session/user IDs in URL parameters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sz w:val="20"/>
                <w:szCs w:val="20"/>
              </w:rPr>
              <w:t xml:space="preserve">Privacy Policy &amp; Terms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color w:val="548235"/>
                <w:sz w:val="20"/>
                <w:szCs w:val="20"/>
              </w:rPr>
              <w:t xml:space="preserve">PASS</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Comprehensive /terms page with ToS, Privacy Policy, AUP</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sz w:val="20"/>
                <w:szCs w:val="20"/>
              </w:rPr>
              <w:t xml:space="preserve">Data Retention Policy</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color w:val="548235"/>
                <w:sz w:val="20"/>
                <w:szCs w:val="20"/>
              </w:rPr>
              <w:t xml:space="preserve">PASS</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2-year retention period stated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sz w:val="20"/>
                <w:szCs w:val="20"/>
              </w:rPr>
              <w:t xml:space="preserve">Wildcard SSL Certificate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color w:val="548235"/>
                <w:sz w:val="20"/>
                <w:szCs w:val="20"/>
              </w:rPr>
              <w:t xml:space="preserve">PASS</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Covers *.aisymmetricsolutions.com</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sz w:val="20"/>
                <w:szCs w:val="20"/>
              </w:rPr>
              <w:t xml:space="preserve">Static Site Architecture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color w:val="548235"/>
                <w:sz w:val="20"/>
                <w:szCs w:val="20"/>
              </w:rPr>
              <w:t xml:space="preserve">PASS</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Netlify — minimal attack surface, no server-side code</w:t>
            </w:r>
          </w:p>
        </w:tc>
      </w:tr>
    </w:tbl>
    <w:p>
      <w:r>
        <w:br w:type="page"/>
      </w:r>
    </w:p>
    <w:p>
      <w:pPr>
        <w:pStyle w:val="Heading1"/>
        <w:spacing w:after="200" w:before="360"/>
      </w:pPr>
      <w:r>
        <w:rPr>
          <w:rFonts w:ascii="Arial" w:cs="Arial" w:eastAsia="Arial" w:hAnsi="Arial"/>
          <w:b/>
          <w:bCs/>
          <w:color w:val="1B3A5C"/>
          <w:sz w:val="32"/>
          <w:szCs w:val="32"/>
        </w:rPr>
        <w:t xml:space="preserve">6. Risk Matrix</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3900"/>
        <w:gridCol w:w="3900"/>
      </w:tblGrid>
      <w:tr>
        <w:tc>
          <w:tcPr>
            <w:tcW w:type="dxa" w:w="15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
            </w:r>
          </w:p>
        </w:tc>
        <w:tc>
          <w:tcPr>
            <w:tcW w:type="dxa" w:w="39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HIGH Impact</w:t>
            </w:r>
          </w:p>
        </w:tc>
        <w:tc>
          <w:tcPr>
            <w:tcW w:type="dxa" w:w="39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MEDIUM Impact</w:t>
            </w:r>
          </w:p>
        </w:tc>
      </w:tr>
      <w:tr>
        <w:tc>
          <w:tcPr>
            <w:tcW w:type="dxa" w:w="1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sz w:val="20"/>
                <w:szCs w:val="20"/>
              </w:rPr>
              <w:t xml:space="preserve">HIGH Likelihood</w:t>
            </w:r>
          </w:p>
        </w:tc>
        <w:tc>
          <w:tcPr>
            <w:tcW w:type="dxa" w:w="390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vAlign w:val="center"/>
          </w:tcPr>
          <w:p>
            <w:r>
              <w:rPr>
                <w:rFonts w:ascii="Arial" w:cs="Arial" w:eastAsia="Arial" w:hAnsi="Arial"/>
                <w:color w:val="999999"/>
                <w:sz w:val="20"/>
                <w:szCs w:val="20"/>
              </w:rPr>
              <w:t xml:space="preserve">(None)</w:t>
            </w:r>
          </w:p>
        </w:tc>
        <w:tc>
          <w:tcPr>
            <w:tcW w:type="dxa" w:w="3900"/>
            <w:tcBorders>
              <w:top w:val="single" w:color="CCCCCC" w:sz="1"/>
              <w:left w:val="single" w:color="CCCCCC" w:sz="1"/>
              <w:bottom w:val="single" w:color="CCCCCC" w:sz="1"/>
              <w:right w:val="single" w:color="CCCCCC" w:sz="1"/>
            </w:tcBorders>
            <w:shd w:fill="FFF2E0" w:val="clear"/>
            <w:tcMar>
              <w:top w:type="dxa" w:w="60"/>
              <w:left w:type="dxa" w:w="100"/>
              <w:bottom w:type="dxa" w:w="60"/>
              <w:right w:type="dxa" w:w="100"/>
            </w:tcMar>
            <w:vAlign w:val="center"/>
          </w:tcPr>
          <w:p>
            <w:r>
              <w:rPr>
                <w:rFonts w:ascii="Arial" w:cs="Arial" w:eastAsia="Arial" w:hAnsi="Arial"/>
                <w:b/>
                <w:bCs/>
                <w:color w:val="ED7D31"/>
                <w:sz w:val="20"/>
                <w:szCs w:val="20"/>
              </w:rPr>
              <w:t xml:space="preserve">F-001 (No Cookie Consent)</w:t>
            </w:r>
          </w:p>
        </w:tc>
      </w:tr>
      <w:tr>
        <w:tc>
          <w:tcPr>
            <w:tcW w:type="dxa" w:w="1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sz w:val="20"/>
                <w:szCs w:val="20"/>
              </w:rPr>
              <w:t xml:space="preserve">MEDIUM Likelihood</w:t>
            </w:r>
          </w:p>
        </w:tc>
        <w:tc>
          <w:tcPr>
            <w:tcW w:type="dxa" w:w="390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vAlign w:val="center"/>
          </w:tcPr>
          <w:p>
            <w:r>
              <w:rPr>
                <w:rFonts w:ascii="Arial" w:cs="Arial" w:eastAsia="Arial" w:hAnsi="Arial"/>
                <w:color w:val="999999"/>
                <w:sz w:val="20"/>
                <w:szCs w:val="20"/>
              </w:rPr>
              <w:t xml:space="preserve">(None)</w:t>
            </w:r>
          </w:p>
        </w:tc>
        <w:tc>
          <w:tcPr>
            <w:tcW w:type="dxa" w:w="3900"/>
            <w:tcBorders>
              <w:top w:val="single" w:color="CCCCCC" w:sz="1"/>
              <w:left w:val="single" w:color="CCCCCC" w:sz="1"/>
              <w:bottom w:val="single" w:color="CCCCCC" w:sz="1"/>
              <w:right w:val="single" w:color="CCCCCC" w:sz="1"/>
            </w:tcBorders>
            <w:shd w:fill="FFFDE0" w:val="clear"/>
            <w:tcMar>
              <w:top w:type="dxa" w:w="60"/>
              <w:left w:type="dxa" w:w="100"/>
              <w:bottom w:type="dxa" w:w="60"/>
              <w:right w:type="dxa" w:w="100"/>
            </w:tcMar>
            <w:vAlign w:val="center"/>
          </w:tcPr>
          <w:p>
            <w:r>
              <w:rPr>
                <w:rFonts w:ascii="Arial" w:cs="Arial" w:eastAsia="Arial" w:hAnsi="Arial"/>
                <w:color w:val="666666"/>
                <w:sz w:val="20"/>
                <w:szCs w:val="20"/>
              </w:rPr>
              <w:t xml:space="preserve">F-002, F-003, F-004</w:t>
            </w:r>
          </w:p>
        </w:tc>
      </w:tr>
      <w:tr>
        <w:tc>
          <w:tcPr>
            <w:tcW w:type="dxa" w:w="1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sz w:val="20"/>
                <w:szCs w:val="20"/>
              </w:rPr>
              <w:t xml:space="preserve">LOW Likelihood</w:t>
            </w:r>
          </w:p>
        </w:tc>
        <w:tc>
          <w:tcPr>
            <w:tcW w:type="dxa" w:w="390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vAlign w:val="center"/>
          </w:tcPr>
          <w:p>
            <w:r>
              <w:rPr>
                <w:rFonts w:ascii="Arial" w:cs="Arial" w:eastAsia="Arial" w:hAnsi="Arial"/>
                <w:color w:val="999999"/>
                <w:sz w:val="20"/>
                <w:szCs w:val="20"/>
              </w:rPr>
              <w:t xml:space="preserve">(None)</w:t>
            </w:r>
          </w:p>
        </w:tc>
        <w:tc>
          <w:tcPr>
            <w:tcW w:type="dxa" w:w="390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vAlign w:val="center"/>
          </w:tcPr>
          <w:p>
            <w:r>
              <w:rPr>
                <w:rFonts w:ascii="Arial" w:cs="Arial" w:eastAsia="Arial" w:hAnsi="Arial"/>
                <w:color w:val="888888"/>
                <w:sz w:val="20"/>
                <w:szCs w:val="20"/>
              </w:rPr>
              <w:t xml:space="preserve">F-005 through F-009</w:t>
            </w:r>
          </w:p>
        </w:tc>
      </w:tr>
    </w:tbl>
    <w:p>
      <w:pPr>
        <w:spacing w:after="200"/>
      </w:pPr>
    </w:p>
    <w:p>
      <w:pPr>
        <w:pStyle w:val="Heading1"/>
        <w:spacing w:after="200" w:before="360"/>
      </w:pPr>
      <w:r>
        <w:rPr>
          <w:rFonts w:ascii="Arial" w:cs="Arial" w:eastAsia="Arial" w:hAnsi="Arial"/>
          <w:b/>
          <w:bCs/>
          <w:color w:val="1B3A5C"/>
          <w:sz w:val="32"/>
          <w:szCs w:val="32"/>
        </w:rPr>
        <w:t xml:space="preserve">7. Recommendations Priority Roadmap</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160"/>
        <w:gridCol w:w="1600"/>
        <w:gridCol w:w="2000"/>
      </w:tblGrid>
      <w:tr>
        <w:tc>
          <w:tcPr>
            <w:tcW w:type="dxa" w:w="1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Priority</w:t>
            </w:r>
          </w:p>
        </w:tc>
        <w:tc>
          <w:tcPr>
            <w:tcW w:type="dxa" w:w="41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Action</w:t>
            </w:r>
          </w:p>
        </w:tc>
        <w:tc>
          <w:tcPr>
            <w:tcW w:type="dxa" w:w="1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Timeline</w:t>
            </w:r>
          </w:p>
        </w:tc>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ISO Control</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color w:val="C00000"/>
                <w:sz w:val="20"/>
                <w:szCs w:val="20"/>
              </w:rPr>
              <w:t xml:space="preserve">P1 - IMMEDIATE</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Deploy cookie consent platform (Cookiebot/OneTrust) to block GTM/GA until consent</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1-2 weeks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555555"/>
                <w:sz w:val="20"/>
                <w:szCs w:val="20"/>
              </w:rPr>
              <w:t xml:space="preserve">ISO 27701 7.2.3</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color w:val="ED7D31"/>
                <w:sz w:val="20"/>
                <w:szCs w:val="20"/>
              </w:rPr>
              <w:t xml:space="preserve">P2 - SHORT TERM</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Refactor CSP to remove 'unsafe-inline' using nonces or hashes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2-4 weeks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555555"/>
                <w:sz w:val="20"/>
                <w:szCs w:val="20"/>
              </w:rPr>
              <w:t xml:space="preserve">A.8.9</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color w:val="ED7D31"/>
                <w:sz w:val="20"/>
                <w:szCs w:val="20"/>
              </w:rPr>
              <w:t xml:space="preserve">P2 - SHORT TERM</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Add SRI integrity attributes to external scripts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2-4 weeks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555555"/>
                <w:sz w:val="20"/>
                <w:szCs w:val="20"/>
              </w:rPr>
              <w:t xml:space="preserve">ISO 27002 8.24</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color w:val="555555"/>
                <w:sz w:val="20"/>
                <w:szCs w:val="20"/>
              </w:rPr>
              <w:t xml:space="preserve">P3 - MEDIUM TERM</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Add dedicated Breach Notification section to privacy policy</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1-2 months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555555"/>
                <w:sz w:val="20"/>
                <w:szCs w:val="20"/>
              </w:rPr>
              <w:t xml:space="preserve">ISO 27701 7.3.4</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color w:val="555555"/>
                <w:sz w:val="20"/>
                <w:szCs w:val="20"/>
              </w:rPr>
              <w:t xml:space="preserve">P3 - MEDIUM TERM</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Add CAA DNS records restricting cert issuance to Let's Encrypt</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1-2 months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555555"/>
                <w:sz w:val="20"/>
                <w:szCs w:val="20"/>
              </w:rPr>
              <w:t xml:space="preserve">A.8.24</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color w:val="555555"/>
                <w:sz w:val="20"/>
                <w:szCs w:val="20"/>
              </w:rPr>
              <w:t xml:space="preserve">P4 - OPTIONAL</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Review sitemap team member page exposure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As needed</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555555"/>
                <w:sz w:val="20"/>
                <w:szCs w:val="20"/>
              </w:rPr>
              <w:t xml:space="preserve">A.8.9</w:t>
            </w:r>
          </w:p>
        </w:tc>
      </w:tr>
    </w:tbl>
    <w:p>
      <w:pPr>
        <w:spacing w:after="200"/>
      </w:pPr>
    </w:p>
    <w:p>
      <w:r>
        <w:br w:type="page"/>
      </w:r>
    </w:p>
    <w:p>
      <w:pPr>
        <w:pStyle w:val="Heading1"/>
        <w:spacing w:after="200" w:before="360"/>
      </w:pPr>
      <w:r>
        <w:rPr>
          <w:rFonts w:ascii="Arial" w:cs="Arial" w:eastAsia="Arial" w:hAnsi="Arial"/>
          <w:b/>
          <w:bCs/>
          <w:color w:val="1B3A5C"/>
          <w:sz w:val="32"/>
          <w:szCs w:val="32"/>
        </w:rPr>
        <w:t xml:space="preserve">8. Conclusion</w:t>
      </w:r>
    </w:p>
    <w:p>
      <w:pPr>
        <w:spacing w:after="120"/>
      </w:pPr>
      <w:r>
        <w:rPr>
          <w:rFonts w:ascii="Arial" w:cs="Arial" w:eastAsia="Arial" w:hAnsi="Arial"/>
          <w:sz w:val="20"/>
          <w:szCs w:val="20"/>
        </w:rPr>
        <w:t xml:space="preserve">AISymmetric Solutions’ website demonstrates a strong security foundation that would substantially pass an ISO 27001 external assessment. The static site architecture on Netlify, comprehensive security headers (all 7/7 present), and well-crafted Content Security Policy place the site well above industry average.</w:t>
      </w:r>
    </w:p>
    <w:p>
      <w:pPr>
        <w:spacing w:after="120"/>
      </w:pPr>
      <w:r>
        <w:rPr>
          <w:rFonts w:ascii="Arial" w:cs="Arial" w:eastAsia="Arial" w:hAnsi="Arial"/>
          <w:sz w:val="20"/>
          <w:szCs w:val="20"/>
        </w:rPr>
        <w:t xml:space="preserve">The single HIGH finding — missing cookie consent — is the most urgent item and is primarily a regulatory compliance issue rather than a technical vulnerability. The remaining findings are moderate refinements rather than fundamental gaps.</w:t>
      </w:r>
    </w:p>
    <w:p>
      <w:pPr>
        <w:spacing w:after="200"/>
      </w:pPr>
    </w:p>
    <w:p>
      <w:pPr>
        <w:pStyle w:val="Heading1"/>
        <w:spacing w:after="200" w:before="360"/>
      </w:pPr>
      <w:r>
        <w:rPr>
          <w:rFonts w:ascii="Arial" w:cs="Arial" w:eastAsia="Arial" w:hAnsi="Arial"/>
          <w:b/>
          <w:bCs/>
          <w:color w:val="1B3A5C"/>
          <w:sz w:val="32"/>
          <w:szCs w:val="32"/>
        </w:rPr>
        <w:t xml:space="preserve">9. Disclaimer</w:t>
      </w:r>
    </w:p>
    <w:p>
      <w:pPr>
        <w:spacing w:after="120"/>
      </w:pPr>
      <w:r>
        <w:rPr>
          <w:rFonts w:ascii="Arial" w:cs="Arial" w:eastAsia="Arial" w:hAnsi="Arial"/>
          <w:i/>
          <w:iCs/>
          <w:sz w:val="20"/>
          <w:szCs w:val="20"/>
        </w:rPr>
        <w:t xml:space="preserve">This assessment was performed as an internal self-assessment. No invasive testing, exploitation, or active attacks were conducted. Findings are based solely on publicly observable information. This report does not constitute a formal ISO certification audit.</w:t>
      </w:r>
    </w:p>
    <w:p>
      <w:pPr>
        <w:spacing w:after="200"/>
      </w:pPr>
    </w:p>
    <w:p>
      <w:pPr>
        <w:pBdr>
          <w:top w:val="single" w:color="2E75B6" w:sz="4" w:space="8"/>
        </w:pBdr>
        <w:spacing w:after="100" w:before="200"/>
      </w:pPr>
    </w:p>
    <w:p>
      <w:pPr>
        <w:spacing w:after="120"/>
      </w:pPr>
      <w:r>
        <w:rPr>
          <w:rFonts w:ascii="Arial" w:cs="Arial" w:eastAsia="Arial" w:hAnsi="Arial"/>
          <w:b/>
          <w:bCs/>
          <w:sz w:val="20"/>
          <w:szCs w:val="20"/>
        </w:rPr>
        <w:t xml:space="preserve">Prepared by: AISymmetric Solutions</w:t>
      </w:r>
    </w:p>
    <w:p>
      <w:pPr>
        <w:spacing w:after="120"/>
      </w:pPr>
      <w:r>
        <w:rPr>
          <w:rFonts w:ascii="Arial" w:cs="Arial" w:eastAsia="Arial" w:hAnsi="Arial"/>
          <w:sz w:val="20"/>
          <w:szCs w:val="20"/>
        </w:rPr>
        <w:t xml:space="preserve">Date: April 15, 2026</w:t>
      </w:r>
    </w:p>
    <w:p>
      <w:pPr>
        <w:spacing w:after="120"/>
      </w:pPr>
      <w:r>
        <w:rPr>
          <w:rFonts w:ascii="Arial" w:cs="Arial" w:eastAsia="Arial" w:hAnsi="Arial"/>
          <w:b/>
          <w:bCs/>
          <w:color w:val="C00000"/>
          <w:sz w:val="20"/>
          <w:szCs w:val="20"/>
        </w:rPr>
        <w:t xml:space="preserve">Classification: CONFIDENTIAL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tabs>
        <w:tab w:val="right" w:pos="9360"/>
      </w:tabs>
    </w:pPr>
    <w:r>
      <w:rPr>
        <w:rFonts w:ascii="Arial" w:cs="Arial" w:eastAsia="Arial" w:hAnsi="Arial"/>
        <w:color w:val="999999"/>
        <w:sz w:val="16"/>
        <w:szCs w:val="16"/>
      </w:rPr>
      <w:t xml:space="preserve">AISymmetric ISO Assessment — April 2026</w:t>
    </w:r>
    <w:r>
      <w:rPr>
        <w:rFonts w:ascii="Arial" w:cs="Arial" w:eastAsia="Arial" w:hAnsi="Arial"/>
        <w:color w:val="999999"/>
        <w:sz w:val="16"/>
        <w:szCs w:val="16"/>
      </w:rPr>
      <w:t xml:space="preserve">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360"/>
      </w:tabs>
      <w:spacing w:after="200"/>
    </w:pPr>
    <w:r>
      <w:rPr>
        <w:rFonts w:ascii="Arial" w:cs="Arial" w:eastAsia="Arial" w:hAnsi="Arial"/>
        <w:color w:val="999999"/>
        <w:sz w:val="16"/>
        <w:szCs w:val="16"/>
      </w:rPr>
      <w:t xml:space="preserve">AISymmetric Solutions — ISO Security Assessment</w:t>
    </w:r>
    <w:r>
      <w:rPr>
        <w:rFonts w:ascii="Arial" w:cs="Arial" w:eastAsia="Arial" w:hAnsi="Arial"/>
        <w:b/>
        <w:bCs/>
        <w:color w:val="C00000"/>
        <w:sz w:val="16"/>
        <w:szCs w:val="16"/>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2026-04-15T19:04:31.944Z</dcterms:created>
  <dcterms:modified xsi:type="dcterms:W3CDTF">2026-04-15T19:04:31.945Z</dcterms:modified>
</cp:coreProperties>
</file>

<file path=docProps/custom.xml><?xml version="1.0" encoding="utf-8"?>
<Properties xmlns="http://schemas.openxmlformats.org/officeDocument/2006/custom-properties" xmlns:vt="http://schemas.openxmlformats.org/officeDocument/2006/docPropsVTypes"/>
</file>