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dtktiheitwg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0"/>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0"/>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58"/>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58"/>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1g96mxst2hd"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isjx26f98mw"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5"/>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5"/>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5"/>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6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68"/>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68"/>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68"/>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59"/>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59"/>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3"/>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3"/>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3"/>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3"/>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3"/>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3"/>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3"/>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3"/>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3"/>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6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69"/>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69"/>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0"/>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0"/>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0"/>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0"/>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0"/>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0"/>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0"/>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0"/>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0"/>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0"/>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0"/>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0"/>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2"/>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2"/>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1"/>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1"/>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7"/>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xkwb9nxdk7w"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44eviszud5r"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0"/>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0"/>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6"/>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6"/>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z7pg8htat9pu"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m9ydd2frg76"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2"/>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2"/>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2"/>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2"/>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2"/>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2"/>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2"/>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2"/>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2"/>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2"/>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2"/>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2"/>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2"/>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2"/>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2"/>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2"/>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2"/>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0928srrxhgc"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6"/>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6"/>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6"/>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6"/>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8"/>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0g72xncgiaf"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5"/>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5"/>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39"/>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39"/>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5"/>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0"/>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0"/>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6"/>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6"/>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49"/>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49"/>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49"/>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4"/>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4"/>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1"/>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yv8ak75kyz1"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4"/>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4"/>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4"/>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4"/>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4"/>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4"/>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4"/>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4"/>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4"/>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4"/>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4"/>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4"/>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4"/>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4"/>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4"/>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4"/>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4"/>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4"/>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4"/>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4"/>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4"/>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4"/>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1"/>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1"/>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51D">
      <w:pPr>
        <w:numPr>
          <w:ilvl w:val="1"/>
          <w:numId w:val="41"/>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51E">
      <w:pPr>
        <w:numPr>
          <w:ilvl w:val="1"/>
          <w:numId w:val="41"/>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1"/>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1"/>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1"/>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1"/>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1"/>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1"/>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1"/>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1"/>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1"/>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1"/>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1"/>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1"/>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1"/>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1"/>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2"/>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2"/>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2"/>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2"/>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2"/>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4"/>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4"/>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4"/>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4"/>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l09oemptnag9"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Вкладка 11</w:t>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1.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