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tt4i4w3tta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29"/>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3wjj5pmi8tu"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9"/>
      <w:bookmarkEnd w:id="59"/>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60"/>
      <w:bookmarkEnd w:id="60"/>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1"/>
      <w:bookmarkEnd w:id="61"/>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2"/>
      <w:bookmarkEnd w:id="62"/>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3"/>
      <w:bookmarkEnd w:id="63"/>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6">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7">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8">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9">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A">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B">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C">
      <w:pPr>
        <w:spacing w:line="256.8" w:lineRule="auto"/>
        <w:rPr/>
      </w:pPr>
      <w:r w:rsidDel="00000000" w:rsidR="00000000" w:rsidRPr="00000000">
        <w:rPr>
          <w:rtl w:val="0"/>
        </w:rPr>
      </w:r>
    </w:p>
    <w:p w:rsidR="00000000" w:rsidDel="00000000" w:rsidP="00000000" w:rsidRDefault="00000000" w:rsidRPr="00000000" w14:paraId="0000014D">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E">
      <w:pPr>
        <w:pStyle w:val="Heading1"/>
        <w:keepNext w:val="0"/>
        <w:keepLines w:val="0"/>
        <w:spacing w:before="480" w:lineRule="auto"/>
        <w:rPr>
          <w:b w:val="1"/>
          <w:sz w:val="46"/>
          <w:szCs w:val="46"/>
        </w:rPr>
      </w:pPr>
      <w:bookmarkStart w:colFirst="0" w:colLast="0" w:name="_iteigdj1bpyl" w:id="64"/>
      <w:bookmarkEnd w:id="64"/>
      <w:r w:rsidDel="00000000" w:rsidR="00000000" w:rsidRPr="00000000">
        <w:rPr>
          <w:b w:val="1"/>
          <w:sz w:val="46"/>
          <w:szCs w:val="46"/>
          <w:rtl w:val="0"/>
        </w:rPr>
        <w:t xml:space="preserve">3. Объекты внимания</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9j3cr870m21h" w:id="65"/>
      <w:bookmarkEnd w:id="65"/>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2">
      <w:pPr>
        <w:numPr>
          <w:ilvl w:val="0"/>
          <w:numId w:val="7"/>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4">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5">
      <w:pPr>
        <w:numPr>
          <w:ilvl w:val="0"/>
          <w:numId w:val="27"/>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6">
      <w:pPr>
        <w:numPr>
          <w:ilvl w:val="0"/>
          <w:numId w:val="27"/>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7">
      <w:pPr>
        <w:numPr>
          <w:ilvl w:val="0"/>
          <w:numId w:val="27"/>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A">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B">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E">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F">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70">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71">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2rtvm2praxa8" w:id="66"/>
      <w:bookmarkEnd w:id="66"/>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4">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5">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6">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7">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8">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9">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A">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B">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C">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D">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E">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0">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81">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3">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4">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b32vowwwxgk5" w:id="67"/>
      <w:bookmarkEnd w:id="67"/>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C">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D">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E">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F">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90">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91">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92">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93">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4">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5">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6">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7">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8">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9">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C">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F">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1">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A2">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A3">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4">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aeejww3xkjka" w:id="68"/>
      <w:bookmarkEnd w:id="68"/>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2">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3">
      <w:pPr>
        <w:numPr>
          <w:ilvl w:val="0"/>
          <w:numId w:val="28"/>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4">
      <w:pPr>
        <w:numPr>
          <w:ilvl w:val="0"/>
          <w:numId w:val="28"/>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6">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7">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8">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A">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B">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C">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D">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es13mdr9cqnd" w:id="69"/>
      <w:bookmarkEnd w:id="69"/>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C1">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C2">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3">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4">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5">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6">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C7">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8">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9">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A">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B">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C">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D">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F">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D0">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D1">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3">
      <w:pPr>
        <w:numPr>
          <w:ilvl w:val="0"/>
          <w:numId w:val="2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4">
      <w:pPr>
        <w:numPr>
          <w:ilvl w:val="0"/>
          <w:numId w:val="2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6">
      <w:pPr>
        <w:numPr>
          <w:ilvl w:val="0"/>
          <w:numId w:val="30"/>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7">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8">
      <w:pPr>
        <w:numPr>
          <w:ilvl w:val="0"/>
          <w:numId w:val="30"/>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9">
      <w:pPr>
        <w:spacing w:line="256.8" w:lineRule="auto"/>
        <w:rPr/>
      </w:pPr>
      <w:r w:rsidDel="00000000" w:rsidR="00000000" w:rsidRPr="00000000">
        <w:rPr>
          <w:rtl w:val="0"/>
        </w:rPr>
      </w:r>
    </w:p>
    <w:p w:rsidR="00000000" w:rsidDel="00000000" w:rsidP="00000000" w:rsidRDefault="00000000" w:rsidRPr="00000000" w14:paraId="000001DA">
      <w:pPr>
        <w:spacing w:after="240" w:before="240" w:lineRule="auto"/>
        <w:rPr>
          <w:b w:val="1"/>
          <w:sz w:val="46"/>
          <w:szCs w:val="46"/>
        </w:rPr>
      </w:pPr>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C">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0">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E2">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4">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5">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6">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5731200" cy="3314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C">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D">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F0">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F2">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6">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7">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8">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9">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A">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B">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00">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A">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B">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C">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D">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E">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3">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D">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E">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F">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20">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21">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6">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line="256.8" w:lineRule="auto"/>
        <w:rPr/>
      </w:pPr>
      <w:r w:rsidDel="00000000" w:rsidR="00000000" w:rsidRPr="00000000">
        <w:rPr>
          <w:rtl w:val="0"/>
        </w:rPr>
      </w:r>
    </w:p>
    <w:p w:rsidR="00000000" w:rsidDel="00000000" w:rsidP="00000000" w:rsidRDefault="00000000" w:rsidRPr="00000000" w14:paraId="0000022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iibiv420jman" w:id="94"/>
      <w:bookmarkEnd w:id="9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ehe0vxxmqgnk" w:id="95"/>
      <w:bookmarkEnd w:id="9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uyv1wbh3y68j" w:id="96"/>
      <w:bookmarkEnd w:id="9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56.8" w:lineRule="auto"/>
        <w:rPr/>
      </w:pPr>
      <w:r w:rsidDel="00000000" w:rsidR="00000000" w:rsidRPr="00000000">
        <w:rPr>
          <w:rtl w:val="0"/>
        </w:rPr>
      </w:r>
    </w:p>
    <w:p w:rsidR="00000000" w:rsidDel="00000000" w:rsidP="00000000" w:rsidRDefault="00000000" w:rsidRPr="00000000" w14:paraId="0000024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2">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3">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4">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5">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6">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7">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8">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9">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A">
      <w:pPr>
        <w:numPr>
          <w:ilvl w:val="0"/>
          <w:numId w:val="26"/>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numgvvvs7x9"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E">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5F">
      <w:pPr>
        <w:pStyle w:val="Heading2"/>
        <w:shd w:fill="ffffff" w:val="clear"/>
        <w:spacing w:after="240" w:lineRule="auto"/>
        <w:rPr/>
      </w:pPr>
      <w:bookmarkStart w:colFirst="0" w:colLast="0" w:name="_xmzi2ip30vun" w:id="99"/>
      <w:bookmarkEnd w:id="9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6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shd w:fill="ffffff" w:val="clear"/>
        <w:spacing w:after="240" w:lineRule="auto"/>
        <w:rPr/>
      </w:pPr>
      <w:bookmarkStart w:colFirst="0" w:colLast="0" w:name="_5l2oraz8vyej" w:id="100"/>
      <w:bookmarkEnd w:id="100"/>
      <w:r w:rsidDel="00000000" w:rsidR="00000000" w:rsidRPr="00000000">
        <w:rPr>
          <w:rtl w:val="0"/>
        </w:rPr>
        <w:t xml:space="preserve">Ученик – это инженер себя. </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tl w:val="0"/>
        </w:rPr>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72">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3">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4">
      <w:pPr>
        <w:pStyle w:val="Heading2"/>
        <w:shd w:fill="ffffff" w:val="clear"/>
        <w:spacing w:after="240" w:before="0" w:lineRule="auto"/>
        <w:rPr>
          <w:rFonts w:ascii="Roboto" w:cs="Roboto" w:eastAsia="Roboto" w:hAnsi="Roboto"/>
          <w:color w:val="484961"/>
          <w:sz w:val="24"/>
          <w:szCs w:val="24"/>
        </w:rPr>
      </w:pPr>
      <w:bookmarkStart w:colFirst="0" w:colLast="0" w:name="_m5svu04tb08m" w:id="102"/>
      <w:bookmarkEnd w:id="102"/>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5">
      <w:pPr>
        <w:pStyle w:val="Heading2"/>
        <w:rPr/>
      </w:pPr>
      <w:bookmarkStart w:colFirst="0" w:colLast="0" w:name="_5g9oaksdcjm8" w:id="101"/>
      <w:bookmarkEnd w:id="101"/>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6">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8">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B">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E">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cf5q61hnfdo" w:id="103"/>
      <w:bookmarkEnd w:id="10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82">
      <w:pPr>
        <w:pStyle w:val="Title"/>
        <w:rPr>
          <w:color w:val="484961"/>
          <w:sz w:val="24"/>
          <w:szCs w:val="24"/>
        </w:rPr>
      </w:pPr>
      <w:bookmarkStart w:colFirst="0" w:colLast="0" w:name="_7tgbofafoazz" w:id="104"/>
      <w:bookmarkEnd w:id="104"/>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9">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A">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B">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C">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D">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E">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F">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A0">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6">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7">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8">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9">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D">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6">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7">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8">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9">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B">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C">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D">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F">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C0">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C1">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C2">
      <w:pPr>
        <w:numPr>
          <w:ilvl w:val="0"/>
          <w:numId w:val="25"/>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3">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4">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5">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6">
      <w:pPr>
        <w:numPr>
          <w:ilvl w:val="0"/>
          <w:numId w:val="25"/>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7">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2pxfkthmshi"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9">
      <w:pPr>
        <w:pStyle w:val="Title"/>
        <w:shd w:fill="ffffff" w:val="clear"/>
        <w:spacing w:after="240" w:before="240" w:lineRule="auto"/>
        <w:rPr/>
      </w:pPr>
      <w:bookmarkStart w:colFirst="0" w:colLast="0" w:name="_2qi8d87n4pwj" w:id="106"/>
      <w:bookmarkEnd w:id="106"/>
      <w:r w:rsidDel="00000000" w:rsidR="00000000" w:rsidRPr="00000000">
        <w:rPr>
          <w:rtl w:val="0"/>
        </w:rPr>
        <w:t xml:space="preserve">Манифест созидателя (короткая версия)</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6">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A">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v8hfxx5yav3"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2DD">
      <w:pPr>
        <w:pStyle w:val="Title"/>
        <w:rPr/>
      </w:pPr>
      <w:bookmarkStart w:colFirst="0" w:colLast="0" w:name="_g1aabote3cq1" w:id="108"/>
      <w:bookmarkEnd w:id="108"/>
      <w:r w:rsidDel="00000000" w:rsidR="00000000" w:rsidRPr="00000000">
        <w:rPr>
          <w:rtl w:val="0"/>
        </w:rPr>
        <w:t xml:space="preserve">Проблематика целевой аудитории</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1"/>
        <w:spacing w:after="360" w:before="360" w:lineRule="auto"/>
        <w:ind w:left="-566.9291338582677" w:firstLine="0"/>
        <w:rPr>
          <w:b w:val="1"/>
        </w:rPr>
      </w:pPr>
      <w:bookmarkStart w:colFirst="0" w:colLast="0" w:name="_sat8dx4eghsq" w:id="109"/>
      <w:bookmarkEnd w:id="109"/>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2E0">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2E1">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2E2">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2E3">
      <w:pPr>
        <w:spacing w:after="360" w:before="360" w:lineRule="auto"/>
        <w:ind w:left="2160" w:firstLine="0"/>
        <w:rPr/>
      </w:pPr>
      <w:r w:rsidDel="00000000" w:rsidR="00000000" w:rsidRPr="00000000">
        <w:rPr>
          <w:rtl w:val="0"/>
        </w:rPr>
      </w:r>
    </w:p>
    <w:p w:rsidR="00000000" w:rsidDel="00000000" w:rsidP="00000000" w:rsidRDefault="00000000" w:rsidRPr="00000000" w14:paraId="000002E4">
      <w:pPr>
        <w:pStyle w:val="Heading1"/>
        <w:numPr>
          <w:ilvl w:val="1"/>
          <w:numId w:val="14"/>
        </w:numPr>
        <w:spacing w:after="0" w:afterAutospacing="0" w:before="360" w:lineRule="auto"/>
        <w:ind w:left="-425.19685039370086" w:firstLine="0"/>
        <w:rPr>
          <w:sz w:val="40"/>
          <w:szCs w:val="40"/>
        </w:rPr>
      </w:pPr>
      <w:bookmarkStart w:colFirst="0" w:colLast="0" w:name="_5s7881nmilw5" w:id="110"/>
      <w:bookmarkEnd w:id="110"/>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2E5">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2E6">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2E7">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2E8">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2E9">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2EA">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2EB">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2EC">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2ED">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2EE">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2EF">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2F0">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2F1">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11"/>
      <w:bookmarkEnd w:id="111"/>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2F2">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2F3">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2F4">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2F5">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2F6">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2F7">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2F8">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2F9">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2F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hk7dvmsh9om" w:id="112"/>
      <w:bookmarkEnd w:id="1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2FC">
      <w:pPr>
        <w:pStyle w:val="Title"/>
        <w:rPr/>
      </w:pPr>
      <w:bookmarkStart w:colFirst="0" w:colLast="0" w:name="_dqklo8tmcvmq" w:id="113"/>
      <w:bookmarkEnd w:id="113"/>
      <w:r w:rsidDel="00000000" w:rsidR="00000000" w:rsidRPr="00000000">
        <w:rPr>
          <w:rtl w:val="0"/>
        </w:rPr>
        <w:t xml:space="preserve">Мастерская по практикам саморазвития</w:t>
      </w:r>
    </w:p>
    <w:p w:rsidR="00000000" w:rsidDel="00000000" w:rsidP="00000000" w:rsidRDefault="00000000" w:rsidRPr="00000000" w14:paraId="000002FD">
      <w:pPr>
        <w:pStyle w:val="Heading1"/>
        <w:keepNext w:val="0"/>
        <w:keepLines w:val="0"/>
        <w:spacing w:after="180" w:before="180" w:lineRule="auto"/>
        <w:rPr/>
      </w:pPr>
      <w:bookmarkStart w:colFirst="0" w:colLast="0" w:name="_9r8il0lioucq" w:id="114"/>
      <w:bookmarkEnd w:id="114"/>
      <w:r w:rsidDel="00000000" w:rsidR="00000000" w:rsidRPr="00000000">
        <w:rPr>
          <w:rtl w:val="0"/>
        </w:rPr>
        <w:t xml:space="preserve">Список тем для обсуждения:</w:t>
      </w:r>
    </w:p>
    <w:p w:rsidR="00000000" w:rsidDel="00000000" w:rsidP="00000000" w:rsidRDefault="00000000" w:rsidRPr="00000000" w14:paraId="000002FE">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2FF">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00">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01">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02">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03">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04">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05">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06">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07">
      <w:pPr>
        <w:pStyle w:val="Heading1"/>
        <w:keepNext w:val="0"/>
        <w:keepLines w:val="0"/>
        <w:spacing w:after="180" w:before="340" w:lineRule="auto"/>
        <w:rPr/>
      </w:pPr>
      <w:bookmarkStart w:colFirst="0" w:colLast="0" w:name="_7y9fzifmxtgg" w:id="115"/>
      <w:bookmarkEnd w:id="115"/>
      <w:r w:rsidDel="00000000" w:rsidR="00000000" w:rsidRPr="00000000">
        <w:rPr>
          <w:rtl w:val="0"/>
        </w:rPr>
        <w:t xml:space="preserve">Три потока человека</w:t>
      </w:r>
    </w:p>
    <w:p w:rsidR="00000000" w:rsidDel="00000000" w:rsidP="00000000" w:rsidRDefault="00000000" w:rsidRPr="00000000" w14:paraId="00000308">
      <w:pPr>
        <w:pStyle w:val="Heading2"/>
        <w:spacing w:before="120" w:lineRule="auto"/>
        <w:rPr/>
      </w:pPr>
      <w:bookmarkStart w:colFirst="0" w:colLast="0" w:name="_5fnoryq6aifz" w:id="116"/>
      <w:bookmarkEnd w:id="116"/>
      <w:r w:rsidDel="00000000" w:rsidR="00000000" w:rsidRPr="00000000">
        <w:rPr>
          <w:rtl w:val="0"/>
        </w:rPr>
        <w:t xml:space="preserve">1. Созидательный поток (рабочие продукты)</w:t>
      </w:r>
    </w:p>
    <w:p w:rsidR="00000000" w:rsidDel="00000000" w:rsidP="00000000" w:rsidRDefault="00000000" w:rsidRPr="00000000" w14:paraId="00000309">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0A">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0B">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0C">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0D">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0E">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0F">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10">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11">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12">
      <w:pPr>
        <w:pStyle w:val="Heading2"/>
        <w:spacing w:before="120" w:lineRule="auto"/>
        <w:rPr/>
      </w:pPr>
      <w:bookmarkStart w:colFirst="0" w:colLast="0" w:name="_in28gctgaybi" w:id="117"/>
      <w:bookmarkEnd w:id="117"/>
      <w:r w:rsidDel="00000000" w:rsidR="00000000" w:rsidRPr="00000000">
        <w:rPr>
          <w:rtl w:val="0"/>
        </w:rPr>
        <w:t xml:space="preserve">2. Познавательный поток (мировоззрение)</w:t>
      </w:r>
    </w:p>
    <w:p w:rsidR="00000000" w:rsidDel="00000000" w:rsidP="00000000" w:rsidRDefault="00000000" w:rsidRPr="00000000" w14:paraId="00000313">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14">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1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16">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17">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18">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19">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1A">
      <w:pPr>
        <w:pStyle w:val="Heading2"/>
        <w:spacing w:before="120" w:lineRule="auto"/>
        <w:rPr/>
      </w:pPr>
      <w:bookmarkStart w:colFirst="0" w:colLast="0" w:name="_xqq6z59gcq8a" w:id="118"/>
      <w:bookmarkEnd w:id="118"/>
      <w:r w:rsidDel="00000000" w:rsidR="00000000" w:rsidRPr="00000000">
        <w:rPr>
          <w:rtl w:val="0"/>
        </w:rPr>
        <w:t xml:space="preserve">3. Переживательный поток (впечатления)</w:t>
      </w:r>
    </w:p>
    <w:p w:rsidR="00000000" w:rsidDel="00000000" w:rsidP="00000000" w:rsidRDefault="00000000" w:rsidRPr="00000000" w14:paraId="0000031B">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1C">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1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1E">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1F">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20">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21">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22">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24">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25">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26">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27">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28">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3.png"/><Relationship Id="rId22" Type="http://schemas.openxmlformats.org/officeDocument/2006/relationships/hyperlink" Target="https://systemsworld.club/t/sistemnoe-mirovozzrenie/9204" TargetMode="External"/><Relationship Id="rId10" Type="http://schemas.openxmlformats.org/officeDocument/2006/relationships/image" Target="media/image1.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