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q1gblpll6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lmssnp638cc"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sg1wx8xgyxz"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msvrthh664c"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3svwnqtg6we"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670e7poeomv"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8kbmflupnil"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yoy8hfxl04l"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i1c799o9yut"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c2zbzdlgnie"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d6ws2b4abp3b"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