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The checkout service shall preserve an incomplete checkout.</w:t>
      </w:r>
    </w:p>
    <w:p>
      <w:r>
        <w:t>Retention follows the configured policy.</w:t>
      </w:r>
    </w:p>
  </w:body>
</w:document>
</file>