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4.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Economic</w:t>
      </w:r>
      <w:r>
        <w:t xml:space="preserve"> </w:t>
      </w:r>
      <w:r>
        <w:t xml:space="preserve">Complexity</w:t>
      </w:r>
      <w:r>
        <w:t xml:space="preserve"> </w:t>
      </w:r>
      <w:r>
        <w:t xml:space="preserve">of</w:t>
      </w:r>
      <w:r>
        <w:t xml:space="preserve"> </w:t>
      </w:r>
      <w:r>
        <w:t xml:space="preserve">Australian</w:t>
      </w:r>
      <w:r>
        <w:t xml:space="preserve"> </w:t>
      </w:r>
      <w:r>
        <w:t xml:space="preserve">Regions</w:t>
      </w:r>
    </w:p>
    <w:p>
      <w:pPr>
        <w:pStyle w:val="Author"/>
      </w:pPr>
      <w:r>
        <w:t xml:space="preserve">Hamish</w:t>
      </w:r>
      <w:r>
        <w:t xml:space="preserve"> </w:t>
      </w:r>
      <w:r>
        <w:t xml:space="preserve">Gamble</w:t>
      </w:r>
    </w:p>
    <w:p>
      <w:pPr>
        <w:pStyle w:val="Author"/>
      </w:pPr>
      <w:r>
        <w:t xml:space="preserve">Sharif</w:t>
      </w:r>
      <w:r>
        <w:t xml:space="preserve"> </w:t>
      </w:r>
      <w:r>
        <w:t xml:space="preserve">Rasel</w:t>
      </w:r>
    </w:p>
    <w:p>
      <w:pPr>
        <w:pStyle w:val="Date"/>
      </w:pPr>
      <w:r>
        <w:t xml:space="preserve">2024-07-19</w:t>
      </w:r>
    </w:p>
    <w:p>
      <w:pPr>
        <w:pStyle w:val="AbstractTitle"/>
      </w:pPr>
      <w:r>
        <w:t xml:space="preserve">Abstract</w:t>
      </w:r>
    </w:p>
    <w:bookmarkStart w:id="20" w:name="introduction"/>
    <w:p>
      <w:pPr>
        <w:pStyle w:val="Heading2"/>
      </w:pPr>
      <w:r>
        <w:t xml:space="preserve">1 Introduction</w:t>
      </w:r>
    </w:p>
    <w:bookmarkEnd w:id="20"/>
    <w:bookmarkStart w:id="22" w:name="literature-review"/>
    <w:p>
      <w:pPr>
        <w:pStyle w:val="Heading2"/>
      </w:pPr>
      <w:r>
        <w:t xml:space="preserve">2 Literature Review</w:t>
      </w:r>
    </w:p>
    <w:p>
      <w:pPr>
        <w:pStyle w:val="FirstParagraph"/>
      </w:pPr>
      <w:r>
        <w:t xml:space="preserve">César A. Hidalgo and Hausmann (2009)</w:t>
      </w:r>
      <w:r>
        <w:t xml:space="preserve"> </w:t>
      </w:r>
      <w:r>
        <w:t xml:space="preserve">introduced the concept of economic complexity as a means of quantifying and explaining differences in the economic development trajectory of different countries. Their method used bilateral trade data to identify the network structure of countries and the products they export and built on the concept of relatedness introduced in</w:t>
      </w:r>
      <w:r>
        <w:t xml:space="preserve"> </w:t>
      </w:r>
      <w:r>
        <w:t xml:space="preserve">C. A. Hidalgo et al. (2007)</w:t>
      </w:r>
      <w:r>
        <w:t xml:space="preserve">. Economic complexity has been shown to be predictor of</w:t>
      </w:r>
    </w:p>
    <w:p>
      <w:pPr>
        <w:pStyle w:val="BodyText"/>
      </w:pPr>
      <w:r>
        <w:t xml:space="preserve">Relatedness has since been applied across industry</w:t>
      </w:r>
      <w:r>
        <w:t xml:space="preserve"> </w:t>
      </w:r>
      <w:r>
        <w:t xml:space="preserve">(Neffke and Henning 2012)</w:t>
      </w:r>
      <w:r>
        <w:t xml:space="preserve">, research areas</w:t>
      </w:r>
      <w:r>
        <w:t xml:space="preserve"> </w:t>
      </w:r>
      <w:r>
        <w:t xml:space="preserve">(Guevara et al. 2016)</w:t>
      </w:r>
      <w:r>
        <w:t xml:space="preserve">, occupation</w:t>
      </w:r>
      <w:r>
        <w:t xml:space="preserve"> </w:t>
      </w:r>
      <w:r>
        <w:t xml:space="preserve">(Muneepeerakul et al. 2013)</w:t>
      </w:r>
      <w:r>
        <w:t xml:space="preserve"> </w:t>
      </w:r>
      <w:r>
        <w:t xml:space="preserve">and technology (patents)</w:t>
      </w:r>
      <w:r>
        <w:t xml:space="preserve"> </w:t>
      </w:r>
      <w:r>
        <w:t xml:space="preserve">(Kogler, Rigby, and Tucker 2013)</w:t>
      </w:r>
      <w:r>
        <w:t xml:space="preserve">.</w:t>
      </w:r>
    </w:p>
    <w:p>
      <w:pPr>
        <w:pStyle w:val="BodyText"/>
      </w:pPr>
      <w:r>
        <w:t xml:space="preserve">The relatedness approach has also been used to quantify economic complexity across cities, states, and regions, using employment data[</w:t>
      </w:r>
      <w:r>
        <w:t xml:space="preserve">Fritz and Manduca (2021)</w:t>
      </w:r>
      <w:r>
        <w:t xml:space="preserve">; @ecnz;</w:t>
      </w:r>
      <w:r>
        <w:t xml:space="preserve"> </w:t>
      </w:r>
      <w:r>
        <w:t xml:space="preserve">Chávez, Mosqueda, and Gómez-Zaldívar (2017)</w:t>
      </w:r>
      <w:r>
        <w:t xml:space="preserve">], business counts</w:t>
      </w:r>
      <w:r>
        <w:t xml:space="preserve">(Gao and Zhou 2018)</w:t>
      </w:r>
      <w:r>
        <w:t xml:space="preserve">, patent classifications</w:t>
      </w:r>
      <w:r>
        <w:t xml:space="preserve"> </w:t>
      </w:r>
      <w:r>
        <w:t xml:space="preserve">(Balland and Boschma 2021)</w:t>
      </w:r>
      <w:r>
        <w:t xml:space="preserve">, and interstate and international trade data</w:t>
      </w:r>
      <w:r>
        <w:t xml:space="preserve"> </w:t>
      </w:r>
      <w:r>
        <w:t xml:space="preserve">(Reynolds et al. 2018)</w:t>
      </w:r>
      <w:r>
        <w:t xml:space="preserve">.</w:t>
      </w:r>
    </w:p>
    <w:p>
      <w:pPr>
        <w:pStyle w:val="BodyText"/>
      </w:pPr>
      <w:r>
        <w:t xml:space="preserve">Despite differences in data sources, the method for calculating economic complexity in the literature is relatively standard. The presence of an activity in a region is often identified using a location quotient method, such that an activity is said to be present in a region if:</w:t>
      </w:r>
    </w:p>
    <w:p>
      <w:pPr>
        <w:pStyle w:val="BodyText"/>
      </w:pPr>
      <m:oMathPara>
        <m:oMathParaPr>
          <m:jc m:val="center"/>
        </m:oMathParaPr>
        <m:oMath>
          <m:f>
            <m:fPr>
              <m:type m:val="bar"/>
            </m:fPr>
            <m:num>
              <m:sSubSup>
                <m:e>
                  <m:r>
                    <m:t>X</m:t>
                  </m:r>
                </m:e>
                <m:sub>
                  <m:r>
                    <m:t>a</m:t>
                  </m:r>
                </m:sub>
                <m:sup>
                  <m:r>
                    <m:t>r</m:t>
                  </m:r>
                </m:sup>
              </m:sSubSup>
              <m:r>
                <m:rPr>
                  <m:sty m:val="p"/>
                </m:rPr>
                <m:t>/</m:t>
              </m:r>
              <m:nary>
                <m:naryPr>
                  <m:chr m:val="∑"/>
                  <m:limLoc m:val="undOvr"/>
                  <m:subHide m:val="off"/>
                  <m:supHide m:val="on"/>
                </m:naryPr>
                <m:sub>
                  <m:r>
                    <m:t>a</m:t>
                  </m:r>
                </m:sub>
                <m:sup>
                  <m:r>
                    <m:t>​</m:t>
                  </m:r>
                </m:sup>
                <m:e>
                  <m:sSubSup>
                    <m:e>
                      <m:r>
                        <m:t>X</m:t>
                      </m:r>
                    </m:e>
                    <m:sub>
                      <m:r>
                        <m:t>a</m:t>
                      </m:r>
                    </m:sub>
                    <m:sup>
                      <m:r>
                        <m:t>r</m:t>
                      </m:r>
                    </m:sup>
                  </m:sSubSup>
                </m:e>
              </m:nary>
            </m:num>
            <m:den>
              <m:nary>
                <m:naryPr>
                  <m:chr m:val="∑"/>
                  <m:limLoc m:val="undOvr"/>
                  <m:subHide m:val="off"/>
                  <m:supHide m:val="on"/>
                </m:naryPr>
                <m:sub>
                  <m:r>
                    <m:t>r</m:t>
                  </m:r>
                </m:sub>
                <m:sup>
                  <m:r>
                    <m:t>​</m:t>
                  </m:r>
                </m:sup>
                <m:e>
                  <m:sSubSup>
                    <m:e>
                      <m:r>
                        <m:t>X</m:t>
                      </m:r>
                    </m:e>
                    <m:sub>
                      <m:r>
                        <m:t>a</m:t>
                      </m:r>
                    </m:sub>
                    <m:sup>
                      <m:r>
                        <m:t>r</m:t>
                      </m:r>
                    </m:sup>
                  </m:sSubSup>
                </m:e>
              </m:nary>
              <m:r>
                <m:rPr>
                  <m:sty m:val="p"/>
                </m:rPr>
                <m:t>/</m:t>
              </m:r>
              <m:nary>
                <m:naryPr>
                  <m:chr m:val="∑"/>
                  <m:limLoc m:val="undOvr"/>
                  <m:subHide m:val="off"/>
                  <m:supHide m:val="on"/>
                </m:naryPr>
                <m:sub>
                  <m:r>
                    <m:t>r</m:t>
                  </m:r>
                  <m:r>
                    <m:rPr>
                      <m:sty m:val="p"/>
                    </m:rPr>
                    <m:t>,</m:t>
                  </m:r>
                  <m:r>
                    <m:t>a</m:t>
                  </m:r>
                </m:sub>
                <m:sup>
                  <m:r>
                    <m:t>​</m:t>
                  </m:r>
                </m:sup>
                <m:e>
                  <m:sSubSup>
                    <m:e>
                      <m:r>
                        <m:t>X</m:t>
                      </m:r>
                    </m:e>
                    <m:sub>
                      <m:r>
                        <m:t>a</m:t>
                      </m:r>
                    </m:sub>
                    <m:sup>
                      <m:r>
                        <m:t>r</m:t>
                      </m:r>
                    </m:sup>
                  </m:sSubSup>
                </m:e>
              </m:nary>
            </m:den>
          </m:f>
          <m:r>
            <m:rPr>
              <m:sty m:val="p"/>
            </m:rPr>
            <m:t>≥</m:t>
          </m:r>
          <m:r>
            <m:t>1</m:t>
          </m:r>
        </m:oMath>
      </m:oMathPara>
    </w:p>
    <w:p>
      <w:pPr>
        <w:pStyle w:val="FirstParagraph"/>
      </w:pPr>
      <w:r>
        <w:t xml:space="preserve">Where</w:t>
      </w:r>
      <w:r>
        <w:t xml:space="preserve"> </w:t>
      </w:r>
      <m:oMath>
        <m:r>
          <m:t>X</m:t>
        </m:r>
      </m:oMath>
      <w:r>
        <w:t xml:space="preserve"> </w:t>
      </w:r>
      <w:r>
        <w:t xml:space="preserve">is the measure of an activity</w:t>
      </w:r>
      <w:r>
        <w:t xml:space="preserve"> </w:t>
      </w:r>
      <m:oMath>
        <m:r>
          <m:t>a</m:t>
        </m:r>
      </m:oMath>
      <w:r>
        <w:t xml:space="preserve"> </w:t>
      </w:r>
      <w:r>
        <w:t xml:space="preserve">in region</w:t>
      </w:r>
      <w:r>
        <w:t xml:space="preserve"> </w:t>
      </w:r>
      <m:oMath>
        <m:r>
          <m:t>r</m:t>
        </m:r>
      </m:oMath>
      <w:r>
        <w:t xml:space="preserve"> </w:t>
      </w:r>
      <w:r>
        <w:t xml:space="preserve">- such as the level of employment in an occupation in a city, or the number of businesses classified in an industry in a province, or the value of exports of a product from a country. The location quotient method creates a binary matrix</w:t>
      </w:r>
      <w:r>
        <w:t xml:space="preserve"> </w:t>
      </w:r>
      <m:oMath>
        <m:r>
          <m:t>M</m:t>
        </m:r>
      </m:oMath>
      <w:r>
        <w:t xml:space="preserve"> </w:t>
      </w:r>
      <w:r>
        <w:t xml:space="preserve">with</w:t>
      </w:r>
      <w:r>
        <w:t xml:space="preserve"> </w:t>
      </w:r>
      <m:oMath>
        <m:r>
          <m:t>a</m:t>
        </m:r>
      </m:oMath>
      <w:r>
        <w:t xml:space="preserve"> </w:t>
      </w:r>
      <w:r>
        <w:t xml:space="preserve">rows and</w:t>
      </w:r>
      <w:r>
        <w:t xml:space="preserve"> </w:t>
      </w:r>
      <m:oMath>
        <m:r>
          <m:t>r</m:t>
        </m:r>
      </m:oMath>
      <w:r>
        <w:t xml:space="preserve"> </w:t>
      </w:r>
      <w:r>
        <w:t xml:space="preserve">columns.</w:t>
      </w:r>
    </w:p>
    <w:p>
      <w:pPr>
        <w:pStyle w:val="Compact"/>
        <w:numPr>
          <w:ilvl w:val="0"/>
          <w:numId w:val="1001"/>
        </w:numPr>
      </w:pPr>
      <w:r>
        <w:t xml:space="preserve">In a study of the economic complexity of US regions,</w:t>
      </w:r>
      <w:r>
        <w:t xml:space="preserve"> </w:t>
      </w:r>
      <w:r>
        <w:t xml:space="preserve">Fritz and Manduca (2021)</w:t>
      </w:r>
      <w:r>
        <w:t xml:space="preserve"> </w:t>
      </w:r>
      <w:r>
        <w:t xml:space="preserve">use metropolitan areas as the basis for calculations.</w:t>
      </w:r>
    </w:p>
    <w:p>
      <w:pPr>
        <w:pStyle w:val="Compact"/>
        <w:numPr>
          <w:ilvl w:val="0"/>
          <w:numId w:val="1001"/>
        </w:numPr>
      </w:pPr>
      <w:r>
        <w:t xml:space="preserve">Metropolitan areas in the United States are defined such that jobs within a given area are held by residents who live in that area.</w:t>
      </w:r>
    </w:p>
    <w:p>
      <w:pPr>
        <w:pStyle w:val="Compact"/>
        <w:numPr>
          <w:ilvl w:val="0"/>
          <w:numId w:val="1001"/>
        </w:numPr>
      </w:pPr>
      <w:r>
        <w:t xml:space="preserve">Metropolitan areas have a population of at least 50,000 people. The smallest MSA was estimated to have a 2023 population of 57,700 (about 0.015% of US population).</w:t>
      </w:r>
    </w:p>
    <w:bookmarkStart w:id="21" w:name="small-n-areas"/>
    <w:p>
      <w:pPr>
        <w:pStyle w:val="Heading3"/>
      </w:pPr>
      <w:r>
        <w:t xml:space="preserve">2.1 Small (n) areas</w:t>
      </w:r>
    </w:p>
    <w:p>
      <w:pPr>
        <w:numPr>
          <w:ilvl w:val="0"/>
          <w:numId w:val="1002"/>
        </w:numPr>
      </w:pPr>
      <w:r>
        <w:t xml:space="preserve">In New Zealand,</w:t>
      </w:r>
      <w:r>
        <w:t xml:space="preserve"> </w:t>
      </w:r>
      <w:r>
        <w:t xml:space="preserve">Davies and Maré (2021)</w:t>
      </w:r>
      <w:r>
        <w:t xml:space="preserve"> </w:t>
      </w:r>
      <w:r>
        <w:t xml:space="preserve">use weighted correlations of local employment shares. Regions range from a population of 1,434 to 573,150 with a mean population of 29,947 and median population of 6,952. Employment is measured as an industry-occupation pair.</w:t>
      </w:r>
    </w:p>
    <w:p>
      <w:pPr>
        <w:numPr>
          <w:ilvl w:val="0"/>
          <w:numId w:val="1002"/>
        </w:numPr>
      </w:pPr>
      <w:r>
        <w:t xml:space="preserve">C. A. Hidalgo et al. (2007)</w:t>
      </w:r>
      <w:r>
        <w:t xml:space="preserve"> </w:t>
      </w:r>
      <w:r>
        <w:t xml:space="preserve">and others have focused on the co-occurrence of revealed comparative advantage indices, derived from a location quotient. The location quotient is measured as:</w:t>
      </w:r>
    </w:p>
    <w:p>
      <w:pPr>
        <w:pStyle w:val="BodyText"/>
      </w:pPr>
      <m:oMathPara>
        <m:oMathParaPr>
          <m:jc m:val="center"/>
        </m:oMathParaPr>
        <m:oMath>
          <m:r>
            <m:t>L</m:t>
          </m:r>
          <m:r>
            <m:t>Q</m:t>
          </m:r>
          <m:r>
            <m:rPr>
              <m:sty m:val="p"/>
            </m:rPr>
            <m:t>=</m:t>
          </m:r>
          <m:f>
            <m:fPr>
              <m:type m:val="bar"/>
            </m:fPr>
            <m:num>
              <m:sSubSup>
                <m:e>
                  <m:r>
                    <m:t>X</m:t>
                  </m:r>
                </m:e>
                <m:sub>
                  <m:r>
                    <m:t>r</m:t>
                  </m:r>
                </m:sub>
                <m:sup>
                  <m:r>
                    <m:t>a</m:t>
                  </m:r>
                </m:sup>
              </m:sSubSup>
              <m:r>
                <m:rPr>
                  <m:sty m:val="p"/>
                </m:rPr>
                <m:t>/</m:t>
              </m:r>
              <m:sSub>
                <m:e>
                  <m:r>
                    <m:t>X</m:t>
                  </m:r>
                </m:e>
                <m:sub>
                  <m:r>
                    <m:t>r</m:t>
                  </m:r>
                </m:sub>
              </m:sSub>
            </m:num>
            <m:den>
              <m:sSup>
                <m:e>
                  <m:r>
                    <m:t>X</m:t>
                  </m:r>
                </m:e>
                <m:sup>
                  <m:r>
                    <m:t>a</m:t>
                  </m:r>
                </m:sup>
              </m:sSup>
              <m:r>
                <m:rPr>
                  <m:sty m:val="p"/>
                </m:rPr>
                <m:t>/</m:t>
              </m:r>
              <m:r>
                <m:t>X</m:t>
              </m:r>
            </m:den>
          </m:f>
        </m:oMath>
      </m:oMathPara>
    </w:p>
    <w:p>
      <w:pPr>
        <w:numPr>
          <w:ilvl w:val="0"/>
          <w:numId w:val="1002"/>
        </w:numPr>
      </w:pPr>
      <w:r>
        <w:t xml:space="preserve">As such, small values of</w:t>
      </w:r>
      <w:r>
        <w:t xml:space="preserve"> </w:t>
      </w:r>
      <m:oMath>
        <m:f>
          <m:fPr>
            <m:type m:val="bar"/>
          </m:fPr>
          <m:num>
            <m:sSup>
              <m:e>
                <m:r>
                  <m:t>X</m:t>
                </m:r>
              </m:e>
              <m:sup>
                <m:r>
                  <m:t>a</m:t>
                </m:r>
              </m:sup>
            </m:sSup>
          </m:num>
          <m:den>
            <m:r>
              <m:t>X</m:t>
            </m:r>
          </m:den>
        </m:f>
      </m:oMath>
      <w:r>
        <w:t xml:space="preserve"> </w:t>
      </w:r>
      <w:r>
        <w:t xml:space="preserve">can exacerbate any measurement error in the numerator. Additionally, the binary nature of measuring revealed comparative advantage when the location quotient is greater than 1, results in a discontinuity at</w:t>
      </w:r>
      <w:r>
        <w:t xml:space="preserve"> </w:t>
      </w:r>
      <m:oMath>
        <m:r>
          <m:t>L</m:t>
        </m:r>
        <m:r>
          <m:t>Q</m:t>
        </m:r>
        <m:r>
          <m:rPr>
            <m:sty m:val="p"/>
          </m:rPr>
          <m:t>=</m:t>
        </m:r>
        <m:r>
          <m:t>1</m:t>
        </m:r>
      </m:oMath>
      <w:r>
        <w:t xml:space="preserve">.</w:t>
      </w:r>
    </w:p>
    <w:p>
      <w:pPr>
        <w:numPr>
          <w:ilvl w:val="0"/>
          <w:numId w:val="1002"/>
        </w:numPr>
      </w:pPr>
      <w:r>
        <w:t xml:space="preserve">Differences in relationship between complexity and relatedness on indicators may be entirely context dependent.</w:t>
      </w:r>
    </w:p>
    <w:bookmarkEnd w:id="21"/>
    <w:bookmarkEnd w:id="22"/>
    <w:bookmarkStart w:id="33" w:name="sec-data-methods"/>
    <w:p>
      <w:pPr>
        <w:pStyle w:val="Heading2"/>
      </w:pPr>
      <w:r>
        <w:t xml:space="preserve">3 Data &amp; Methods</w:t>
      </w:r>
    </w:p>
    <w:bookmarkStart w:id="29" w:name="data"/>
    <w:p>
      <w:pPr>
        <w:pStyle w:val="Heading3"/>
      </w:pPr>
      <w:r>
        <w:t xml:space="preserve">3.1 Data</w:t>
      </w:r>
    </w:p>
    <w:p>
      <w:pPr>
        <w:numPr>
          <w:ilvl w:val="0"/>
          <w:numId w:val="1003"/>
        </w:numPr>
      </w:pPr>
      <w:r>
        <w:t xml:space="preserve">Calculate economic complexity indicators for Australian regions using employment data from the 2021 Census.</w:t>
      </w:r>
    </w:p>
    <w:p>
      <w:pPr>
        <w:numPr>
          <w:ilvl w:val="0"/>
          <w:numId w:val="1003"/>
        </w:numPr>
      </w:pPr>
      <w:r>
        <w:t xml:space="preserve">Regions classified by Statistical Areas Level 3 (SA3)</w:t>
      </w:r>
    </w:p>
    <w:p>
      <w:pPr>
        <w:numPr>
          <w:ilvl w:val="0"/>
          <w:numId w:val="1003"/>
        </w:numPr>
      </w:pPr>
      <w:r>
        <w:t xml:space="preserve">Economic activity classified by ANZSIC industry division and ANZSCO major group</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numPr>
          <w:ilvl w:val="0"/>
          <w:numId w:val="1004"/>
        </w:numPr>
      </w:pPr>
      <w:r>
        <w:t xml:space="preserve">We exclude individuals who identify their place of work as a Migratory - Offshore - Shipping region or as No Fixed Address. Employment in these regions totals 497,913 or about 4% of the total sample.</w:t>
      </w:r>
    </w:p>
    <w:p>
      <w:pPr>
        <w:numPr>
          <w:ilvl w:val="0"/>
          <w:numId w:val="1004"/>
        </w:numPr>
      </w:pPr>
      <w:r>
        <w:t xml:space="preserve">Following</w:t>
      </w:r>
      <w:r>
        <w:t xml:space="preserve"> </w:t>
      </w:r>
      <w:r>
        <w:t xml:space="preserve">Davies and Maré (2021)</w:t>
      </w:r>
      <w:r>
        <w:t xml:space="preserve">, employment is aggregated into industry-occupation pairs, allowing for differentiation between, for example, managers working in agriculture, forestry, and fishing, and managers working in retail trade.</w:t>
      </w:r>
    </w:p>
    <w:p>
      <w:pPr>
        <w:numPr>
          <w:ilvl w:val="0"/>
          <w:numId w:val="1004"/>
        </w:numPr>
      </w:pPr>
      <w:r>
        <w:t xml:space="preserve">Dataset covers 340 regions and 152 industry-occupations.</w:t>
      </w:r>
      <w:r>
        <w:t xml:space="preserve"> </w:t>
      </w:r>
      <w:hyperlink w:anchor="fig-employment-density">
        <w:r>
          <w:rPr>
            <w:rStyle w:val="Hyperlink"/>
          </w:rPr>
          <w:t xml:space="preserve">Figure 1</w:t>
        </w:r>
      </w:hyperlink>
      <w:r>
        <w:t xml:space="preserve"> </w:t>
      </w:r>
      <w:r>
        <w:t xml:space="preserve">shows the presence of any level of employment within a region and industry-occupation. As can be seen, there is a high level of employment density across our data.</w:t>
      </w:r>
    </w:p>
    <w:bookmarkStart w:id="28" w:name="cell-fig-employment-density"/>
    <w:tbl>
      <w:tblPr>
        <w:tblStyle w:val="Table"/>
        <w:tblW w:type="pct" w:w="5000"/>
        <w:tblLayout w:type="fixed"/>
        <w:tblLook w:firstRow="0" w:lastRow="0" w:firstColumn="0" w:lastColumn="0" w:noHBand="0" w:noVBand="0" w:val="0000"/>
      </w:tblPr>
      <w:tblGrid>
        <w:gridCol w:w="7920"/>
      </w:tblGrid>
      <w:tr>
        <w:tc>
          <w:tcPr/>
          <w:bookmarkStart w:id="27" w:name="fig-employment-density"/>
          <w:p>
            <w:pPr>
              <w:pStyle w:val="Compact"/>
              <w:jc w:val="center"/>
            </w:pPr>
            <w:r>
              <w:drawing>
                <wp:inline>
                  <wp:extent cx="4620126" cy="3696101"/>
                  <wp:effectExtent b="0" l="0" r="0" t="0"/>
                  <wp:docPr descr="" title="" id="25" name="Picture"/>
                  <a:graphic>
                    <a:graphicData uri="http://schemas.openxmlformats.org/drawingml/2006/picture">
                      <pic:pic>
                        <pic:nvPicPr>
                          <pic:cNvPr descr="index_files/figure-docx/fig-employment-density-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Presence of employment across regions and industry-occupations.</w:t>
            </w:r>
          </w:p>
          <w:bookmarkEnd w:id="2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28"/>
    <w:bookmarkEnd w:id="29"/>
    <w:bookmarkStart w:id="32" w:name="method"/>
    <w:p>
      <w:pPr>
        <w:pStyle w:val="Heading3"/>
      </w:pPr>
      <w:r>
        <w:t xml:space="preserve">3.2 Method</w:t>
      </w:r>
    </w:p>
    <w:p>
      <w:pPr>
        <w:pStyle w:val="FirstParagraph"/>
      </w:pPr>
      <w:r>
        <w:t xml:space="preserve">This section follows the method of</w:t>
      </w:r>
      <w:r>
        <w:t xml:space="preserve"> </w:t>
      </w:r>
      <w:r>
        <w:t xml:space="preserve">Davies and Maré (2021)</w:t>
      </w:r>
      <w:r>
        <w:t xml:space="preserve"> </w:t>
      </w:r>
      <w:r>
        <w:t xml:space="preserve">using correlations of employment shares rather than a location quotient method.</w:t>
      </w:r>
    </w:p>
    <w:bookmarkStart w:id="30" w:name="relatedness"/>
    <w:p>
      <w:pPr>
        <w:pStyle w:val="Heading4"/>
      </w:pPr>
      <w:r>
        <w:t xml:space="preserve">3.2.1 Relatedness</w:t>
      </w:r>
    </w:p>
    <w:p>
      <w:pPr>
        <w:pStyle w:val="FirstParagraph"/>
      </w:pPr>
      <w:r>
        <w:t xml:space="preserve">Activities are related based on the weighted correlation between the local activity share of employment, weighted by each regions share of total employment.</w:t>
      </w:r>
    </w:p>
    <w:p>
      <w:pPr>
        <w:pStyle w:val="Compact"/>
        <w:numPr>
          <w:ilvl w:val="0"/>
          <w:numId w:val="1005"/>
        </w:numPr>
      </w:pPr>
      <w:r>
        <w:t xml:space="preserve">First calculate the weighted covariance</w:t>
      </w:r>
    </w:p>
    <w:p>
      <w:pPr>
        <w:pStyle w:val="FirstParagraph"/>
      </w:pPr>
      <m:oMathPara>
        <m:oMathParaPr>
          <m:jc m:val="center"/>
        </m:oMathParaPr>
        <m:oMath>
          <m:r>
            <m:t>c</m:t>
          </m:r>
          <m:r>
            <m:t>o</m:t>
          </m:r>
          <m:sSub>
            <m:e>
              <m:r>
                <m:t>v</m:t>
              </m:r>
            </m:e>
            <m:sub>
              <m:r>
                <m:t>a</m:t>
              </m:r>
              <m:r>
                <m:t>a</m:t>
              </m:r>
            </m:sub>
          </m:sSub>
          <m:r>
            <m:rPr>
              <m:sty m:val="p"/>
            </m:rPr>
            <m:t>=</m:t>
          </m:r>
          <m:nary>
            <m:naryPr>
              <m:chr m:val="∑"/>
              <m:limLoc m:val="undOvr"/>
              <m:subHide m:val="off"/>
              <m:supHide m:val="on"/>
            </m:naryPr>
            <m:sub>
              <m:r>
                <m:t>c</m:t>
              </m:r>
              <m:r>
                <m:rPr>
                  <m:sty m:val="p"/>
                </m:rPr>
                <m:t>∈</m:t>
              </m:r>
              <m:r>
                <m:t>C</m:t>
              </m:r>
            </m:sub>
            <m:sup>
              <m:r>
                <m:t>​</m:t>
              </m:r>
            </m:sup>
            <m:e>
              <m:d>
                <m:dPr>
                  <m:begChr m:val="("/>
                  <m:endChr m:val=")"/>
                  <m:sepChr m:val=""/>
                  <m:grow/>
                </m:dPr>
                <m:e>
                  <m:f>
                    <m:fPr>
                      <m:type m:val="bar"/>
                    </m:fPr>
                    <m:num>
                      <m:sSubSup>
                        <m:e>
                          <m:r>
                            <m:t>E</m:t>
                          </m:r>
                        </m:e>
                        <m:sub>
                          <m:r>
                            <m:t>c</m:t>
                          </m:r>
                        </m:sub>
                        <m:sup>
                          <m:sSub>
                            <m:e>
                              <m:r>
                                <m:t>a</m:t>
                              </m:r>
                            </m:e>
                            <m:sub>
                              <m:r>
                                <m:t>i</m:t>
                              </m:r>
                            </m:sub>
                          </m:sSub>
                        </m:sup>
                      </m:sSubSup>
                    </m:num>
                    <m:den>
                      <m:sSub>
                        <m:e>
                          <m:r>
                            <m:t>E</m:t>
                          </m:r>
                        </m:e>
                        <m:sub>
                          <m:r>
                            <m:t>c</m:t>
                          </m:r>
                        </m:sub>
                      </m:sSub>
                    </m:den>
                  </m:f>
                  <m:r>
                    <m:rPr>
                      <m:sty m:val="p"/>
                    </m:rPr>
                    <m:t>−</m:t>
                  </m:r>
                  <m:f>
                    <m:fPr>
                      <m:type m:val="bar"/>
                    </m:fPr>
                    <m:num>
                      <m:sSup>
                        <m:e>
                          <m:r>
                            <m:t>E</m:t>
                          </m:r>
                        </m:e>
                        <m:sup>
                          <m:sSub>
                            <m:e>
                              <m:r>
                                <m:t>a</m:t>
                              </m:r>
                            </m:e>
                            <m:sub>
                              <m:r>
                                <m:t>i</m:t>
                              </m:r>
                            </m:sub>
                          </m:sSub>
                        </m:sup>
                      </m:sSup>
                    </m:num>
                    <m:den>
                      <m:r>
                        <m:t>E</m:t>
                      </m:r>
                    </m:den>
                  </m:f>
                </m:e>
              </m:d>
            </m:e>
          </m:nary>
          <m:d>
            <m:dPr>
              <m:begChr m:val="("/>
              <m:endChr m:val=")"/>
              <m:sepChr m:val=""/>
              <m:grow/>
            </m:dPr>
            <m:e>
              <m:f>
                <m:fPr>
                  <m:type m:val="bar"/>
                </m:fPr>
                <m:num>
                  <m:sSubSup>
                    <m:e>
                      <m:r>
                        <m:t>E</m:t>
                      </m:r>
                    </m:e>
                    <m:sub>
                      <m:r>
                        <m:t>c</m:t>
                      </m:r>
                    </m:sub>
                    <m:sup>
                      <m:sSub>
                        <m:e>
                          <m:r>
                            <m:t>a</m:t>
                          </m:r>
                        </m:e>
                        <m:sub>
                          <m:r>
                            <m:t>j</m:t>
                          </m:r>
                        </m:sub>
                      </m:sSub>
                    </m:sup>
                  </m:sSubSup>
                </m:num>
                <m:den>
                  <m:sSub>
                    <m:e>
                      <m:r>
                        <m:t>E</m:t>
                      </m:r>
                    </m:e>
                    <m:sub>
                      <m:r>
                        <m:t>c</m:t>
                      </m:r>
                    </m:sub>
                  </m:sSub>
                </m:den>
              </m:f>
              <m:r>
                <m:rPr>
                  <m:sty m:val="p"/>
                </m:rPr>
                <m:t>−</m:t>
              </m:r>
              <m:f>
                <m:fPr>
                  <m:type m:val="bar"/>
                </m:fPr>
                <m:num>
                  <m:sSup>
                    <m:e>
                      <m:r>
                        <m:t>E</m:t>
                      </m:r>
                    </m:e>
                    <m:sup>
                      <m:sSub>
                        <m:e>
                          <m:r>
                            <m:t>a</m:t>
                          </m:r>
                        </m:e>
                        <m:sub>
                          <m:r>
                            <m:t>j</m:t>
                          </m:r>
                        </m:sub>
                      </m:sSub>
                    </m:sup>
                  </m:sSup>
                </m:num>
                <m:den>
                  <m:r>
                    <m:t>E</m:t>
                  </m:r>
                </m:den>
              </m:f>
            </m:e>
          </m:d>
        </m:oMath>
      </m:oMathPara>
    </w:p>
    <w:p>
      <w:pPr>
        <w:numPr>
          <w:ilvl w:val="0"/>
          <w:numId w:val="1006"/>
        </w:numPr>
      </w:pPr>
      <w:r>
        <w:t xml:space="preserve">Divide the weighted covariance by the city share-weighted standard deviations of the local activity shares to get the weighted correlation.</w:t>
      </w:r>
    </w:p>
    <w:p>
      <w:pPr>
        <w:numPr>
          <w:ilvl w:val="0"/>
          <w:numId w:val="1006"/>
        </w:numPr>
      </w:pPr>
      <w:r>
        <w:t xml:space="preserve">Map the correlation to the interval</w:t>
      </w:r>
      <w:r>
        <w:t xml:space="preserve"> </w:t>
      </w:r>
      <m:oMath>
        <m:d>
          <m:dPr>
            <m:begChr m:val="["/>
            <m:endChr m:val="]"/>
            <m:sepChr m:val=""/>
            <m:grow/>
          </m:dPr>
          <m:e>
            <m:r>
              <m:t>0</m:t>
            </m:r>
            <m:r>
              <m:rPr>
                <m:sty m:val="p"/>
              </m:rPr>
              <m:t>,</m:t>
            </m:r>
            <m:r>
              <m:t>1</m:t>
            </m:r>
          </m:e>
        </m:d>
      </m:oMath>
      <w:r>
        <w:t xml:space="preserve"> </w:t>
      </w:r>
      <w:r>
        <w:t xml:space="preserve">such that:</w:t>
      </w:r>
    </w:p>
    <w:p>
      <w:pPr>
        <w:pStyle w:val="BodyText"/>
      </w:pPr>
      <m:oMathPara>
        <m:oMathParaPr>
          <m:jc m:val="center"/>
        </m:oMathParaPr>
        <m:oMath>
          <m:sSub>
            <m:e>
              <m:r>
                <m:t>r</m:t>
              </m:r>
            </m:e>
            <m:sub>
              <m:r>
                <m:t>a</m:t>
              </m:r>
              <m:r>
                <m:t>a</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a</m:t>
                      </m:r>
                    </m:e>
                    <m:sub>
                      <m:r>
                        <m:t>i</m:t>
                      </m:r>
                    </m:sub>
                  </m:sSub>
                  <m:r>
                    <m:rPr>
                      <m:sty m:val="p"/>
                    </m:rPr>
                    <m:t>,</m:t>
                  </m:r>
                  <m:sSub>
                    <m:e>
                      <m:r>
                        <m:t>a</m:t>
                      </m:r>
                    </m:e>
                    <m:sub>
                      <m:r>
                        <m:t>j</m:t>
                      </m:r>
                    </m:sub>
                  </m:sSub>
                </m:e>
              </m:d>
              <m:r>
                <m:rPr>
                  <m:sty m:val="p"/>
                </m:rPr>
                <m:t>+</m:t>
              </m:r>
              <m:r>
                <m:t>1</m:t>
              </m:r>
            </m:e>
          </m:d>
        </m:oMath>
      </m:oMathPara>
    </w:p>
    <w:p>
      <w:pPr>
        <w:pStyle w:val="FirstParagraph"/>
      </w:pPr>
      <w:r>
        <w:t xml:space="preserve">City relatedness is calculated symmetrically such that:</w:t>
      </w:r>
    </w:p>
    <w:p>
      <w:pPr>
        <w:pStyle w:val="BodyText"/>
      </w:pPr>
      <m:oMathPara>
        <m:oMathParaPr>
          <m:jc m:val="center"/>
        </m:oMathParaPr>
        <m:oMath>
          <m:sSub>
            <m:e>
              <m:r>
                <m:t>r</m:t>
              </m:r>
            </m:e>
            <m:sub>
              <m:r>
                <m:t>c</m:t>
              </m:r>
              <m:r>
                <m:t>c</m:t>
              </m:r>
            </m:sub>
          </m:sSub>
          <m:r>
            <m:rPr>
              <m:sty m:val="p"/>
            </m:rPr>
            <m:t>=</m:t>
          </m:r>
          <m:f>
            <m:fPr>
              <m:type m:val="bar"/>
            </m:fPr>
            <m:num>
              <m:r>
                <m:t>1</m:t>
              </m:r>
            </m:num>
            <m:den>
              <m:r>
                <m:t>2</m:t>
              </m:r>
            </m:den>
          </m:f>
          <m:d>
            <m:dPr>
              <m:begChr m:val="("/>
              <m:endChr m:val=")"/>
              <m:sepChr m:val=""/>
              <m:grow/>
            </m:dPr>
            <m:e>
              <m:r>
                <m:t>c</m:t>
              </m:r>
              <m:r>
                <m:t>o</m:t>
              </m:r>
              <m:r>
                <m:t>r</m:t>
              </m:r>
              <m:d>
                <m:dPr>
                  <m:begChr m:val="("/>
                  <m:endChr m:val=")"/>
                  <m:sepChr m:val=""/>
                  <m:grow/>
                </m:dPr>
                <m:e>
                  <m:sSub>
                    <m:e>
                      <m:r>
                        <m:t>c</m:t>
                      </m:r>
                    </m:e>
                    <m:sub>
                      <m:r>
                        <m:t>i</m:t>
                      </m:r>
                    </m:sub>
                  </m:sSub>
                  <m:r>
                    <m:rPr>
                      <m:sty m:val="p"/>
                    </m:rPr>
                    <m:t>,</m:t>
                  </m:r>
                  <m:sSub>
                    <m:e>
                      <m:r>
                        <m:t>c</m:t>
                      </m:r>
                    </m:e>
                    <m:sub>
                      <m:r>
                        <m:t>j</m:t>
                      </m:r>
                    </m:sub>
                  </m:sSub>
                </m:e>
              </m:d>
              <m:r>
                <m:rPr>
                  <m:sty m:val="p"/>
                </m:rPr>
                <m:t>+</m:t>
              </m:r>
              <m:r>
                <m:t>1</m:t>
              </m:r>
            </m:e>
          </m:d>
        </m:oMath>
      </m:oMathPara>
    </w:p>
    <w:bookmarkEnd w:id="30"/>
    <w:bookmarkStart w:id="31" w:name="complexity"/>
    <w:p>
      <w:pPr>
        <w:pStyle w:val="Heading4"/>
      </w:pPr>
      <w:r>
        <w:t xml:space="preserve">3.2.2 Complexity</w:t>
      </w:r>
    </w:p>
    <w:p>
      <w:pPr>
        <w:pStyle w:val="FirstParagraph"/>
      </w:pPr>
      <w:r>
        <w:t xml:space="preserve">Activity complexity is defined by the second eigenvector of the matrix</w:t>
      </w:r>
      <w:r>
        <w:t xml:space="preserve"> </w:t>
      </w:r>
      <m:oMath>
        <m:sSub>
          <m:e>
            <m:r>
              <m:t>r</m:t>
            </m:r>
          </m:e>
          <m:sub>
            <m:r>
              <m:t>a</m:t>
            </m:r>
            <m:r>
              <m:t>a</m:t>
            </m:r>
          </m:sub>
        </m:sSub>
      </m:oMath>
      <w:r>
        <w:t xml:space="preserve"> </w:t>
      </w:r>
      <w:r>
        <w:t xml:space="preserve">and city complexity is defined by the second eigenvector of the matrix</w:t>
      </w:r>
      <w:r>
        <w:t xml:space="preserve"> </w:t>
      </w:r>
      <m:oMath>
        <m:sSub>
          <m:e>
            <m:r>
              <m:t>r</m:t>
            </m:r>
          </m:e>
          <m:sub>
            <m:r>
              <m:t>c</m:t>
            </m:r>
            <m:r>
              <m:t>c</m:t>
            </m:r>
          </m:sub>
        </m:sSub>
      </m:oMath>
      <w:r>
        <w:t xml:space="preserve">. The sign of activity complexity is set such that it is positively correlated with the weighted mean size of cities that contain activity</w:t>
      </w:r>
      <w:r>
        <w:t xml:space="preserve"> </w:t>
      </w:r>
      <m:oMath>
        <m:r>
          <m:t>a</m:t>
        </m:r>
      </m:oMath>
      <w:r>
        <w:t xml:space="preserve">, and the sign of city complexity is set such that it is positively correlated with the local share-weighted mean complexity of activities in city</w:t>
      </w:r>
      <w:r>
        <w:t xml:space="preserve"> </w:t>
      </w:r>
      <m:oMath>
        <m:r>
          <m:t>c</m:t>
        </m:r>
      </m:oMath>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1"/>
    <w:bookmarkEnd w:id="32"/>
    <w:bookmarkEnd w:id="33"/>
    <w:bookmarkStart w:id="45" w:name="results"/>
    <w:p>
      <w:pPr>
        <w:pStyle w:val="Heading2"/>
      </w:pPr>
      <w:r>
        <w:t xml:space="preserve">4 Results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hyperlink w:anchor="fig-gcc-complexity">
        <w:r>
          <w:rPr>
            <w:rStyle w:val="Hyperlink"/>
          </w:rPr>
          <w:t xml:space="preserve">Figure 2</w:t>
        </w:r>
      </w:hyperlink>
      <w:r>
        <w:t xml:space="preserve"> </w:t>
      </w:r>
      <w:r>
        <w:t xml:space="preserve">shows the regional complexity of SA3 regions in Australian Greater Capital City Areas based on 2021 Census data. Complexity is highest in capital cities and surrounding regions.</w:t>
      </w:r>
    </w:p>
    <w:bookmarkStart w:id="38" w:name="cell-fig-gcc-complexity"/>
    <w:tbl>
      <w:tblPr>
        <w:tblStyle w:val="Table"/>
        <w:tblW w:type="pct" w:w="5000"/>
        <w:tblLayout w:type="fixed"/>
        <w:tblLook w:firstRow="0" w:lastRow="0" w:firstColumn="0" w:lastColumn="0" w:noHBand="0" w:noVBand="0" w:val="0000"/>
      </w:tblPr>
      <w:tblGrid>
        <w:gridCol w:w="7920"/>
      </w:tblGrid>
      <w:tr>
        <w:tc>
          <w:tcPr/>
          <w:bookmarkStart w:id="37" w:name="fig-gcc-complexity"/>
          <w:p>
            <w:pPr>
              <w:pStyle w:val="Compact"/>
              <w:jc w:val="center"/>
            </w:pPr>
            <w:r>
              <w:drawing>
                <wp:inline>
                  <wp:extent cx="4620126" cy="3696101"/>
                  <wp:effectExtent b="0" l="0" r="0" t="0"/>
                  <wp:docPr descr="" title="" id="35" name="Picture"/>
                  <a:graphic>
                    <a:graphicData uri="http://schemas.openxmlformats.org/drawingml/2006/picture">
                      <pic:pic>
                        <pic:nvPicPr>
                          <pic:cNvPr descr="index_files/figure-docx/fig-gcc-complexity-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Complexity of Australian Greater Capital City Areas</w:t>
            </w:r>
          </w:p>
          <w:bookmarkEnd w:id="37"/>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38"/>
    <w:bookmarkStart w:id="44" w:name="spatial-correlation"/>
    <w:p>
      <w:pPr>
        <w:pStyle w:val="Heading3"/>
      </w:pPr>
      <w:r>
        <w:t xml:space="preserve">4.1 Spatial Correlation</w:t>
      </w:r>
    </w:p>
    <w:p>
      <w:pPr>
        <w:pStyle w:val="Compact"/>
        <w:numPr>
          <w:ilvl w:val="0"/>
          <w:numId w:val="1007"/>
        </w:numPr>
      </w:pPr>
      <w:r>
        <w:t xml:space="preserve">Is economic complexity correlated across space?</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Compact"/>
        <w:numPr>
          <w:ilvl w:val="0"/>
          <w:numId w:val="1008"/>
        </w:numPr>
      </w:pPr>
      <w:r>
        <w:t xml:space="preserve">Global Moran’s I = 0.5007756 with a p.value of 0.</w:t>
      </w:r>
    </w:p>
    <w:bookmarkStart w:id="43" w:name="cell-fig-complexity-hot-spots"/>
    <w:tbl>
      <w:tblPr>
        <w:tblStyle w:val="Table"/>
        <w:tblW w:type="pct" w:w="5000"/>
        <w:tblLayout w:type="fixed"/>
        <w:tblLook w:firstRow="0" w:lastRow="0" w:firstColumn="0" w:lastColumn="0" w:noHBand="0" w:noVBand="0" w:val="0000"/>
      </w:tblPr>
      <w:tblGrid>
        <w:gridCol w:w="7920"/>
      </w:tblGrid>
      <w:tr>
        <w:tc>
          <w:tcPr/>
          <w:bookmarkStart w:id="42" w:name="fig-complexity-hot-spots"/>
          <w:p>
            <w:pPr>
              <w:pStyle w:val="Compact"/>
              <w:jc w:val="center"/>
            </w:pPr>
            <w:r>
              <w:drawing>
                <wp:inline>
                  <wp:extent cx="4620126" cy="3696101"/>
                  <wp:effectExtent b="0" l="0" r="0" t="0"/>
                  <wp:docPr descr="" title="" id="40" name="Picture"/>
                  <a:graphic>
                    <a:graphicData uri="http://schemas.openxmlformats.org/drawingml/2006/picture">
                      <pic:pic>
                        <pic:nvPicPr>
                          <pic:cNvPr descr="index_files/figure-docx/fig-complexity-hot-spots-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City Complexity hot spots (based on local Moran’s I p.values)</w:t>
            </w:r>
          </w:p>
          <w:bookmarkEnd w:id="42"/>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bookmarkEnd w:id="43"/>
    <w:bookmarkEnd w:id="44"/>
    <w:bookmarkEnd w:id="45"/>
    <w:bookmarkStart w:id="46" w:name="conclusion"/>
    <w:p>
      <w:pPr>
        <w:pStyle w:val="Heading2"/>
      </w:pPr>
      <w:r>
        <w:t xml:space="preserve">5 Conclusion</w:t>
      </w:r>
    </w:p>
    <w:bookmarkEnd w:id="46"/>
    <w:bookmarkStart w:id="72" w:name="references"/>
    <w:p>
      <w:pPr>
        <w:pStyle w:val="Heading2"/>
      </w:pPr>
      <w:r>
        <w:t xml:space="preserve">References</w:t>
      </w:r>
    </w:p>
    <w:bookmarkStart w:id="71" w:name="refs"/>
    <w:bookmarkStart w:id="48" w:name="ref-balland2021"/>
    <w:p>
      <w:pPr>
        <w:pStyle w:val="Bibliography"/>
      </w:pPr>
      <w:r>
        <w:t xml:space="preserve">Balland, Pierre-Alexandre, and Ron Boschma. 2021.</w:t>
      </w:r>
      <w:r>
        <w:t xml:space="preserve"> </w:t>
      </w:r>
      <w:r>
        <w:t xml:space="preserve">“Mapping the Potentials of Regions in Europe to Contribute to New Knowledge Production in Industry 4.0 Technologies.”</w:t>
      </w:r>
      <w:r>
        <w:t xml:space="preserve"> </w:t>
      </w:r>
      <w:r>
        <w:rPr>
          <w:i/>
          <w:iCs/>
        </w:rPr>
        <w:t xml:space="preserve">Regional Studies</w:t>
      </w:r>
      <w:r>
        <w:t xml:space="preserve"> </w:t>
      </w:r>
      <w:r>
        <w:t xml:space="preserve">55 (10-11): 1652–66.</w:t>
      </w:r>
      <w:r>
        <w:t xml:space="preserve"> </w:t>
      </w:r>
      <w:hyperlink r:id="rId47">
        <w:r>
          <w:rPr>
            <w:rStyle w:val="Hyperlink"/>
          </w:rPr>
          <w:t xml:space="preserve">https://doi.org/10.1080/00343404.2021.1900557</w:t>
        </w:r>
      </w:hyperlink>
      <w:r>
        <w:t xml:space="preserve">.</w:t>
      </w:r>
    </w:p>
    <w:bookmarkEnd w:id="48"/>
    <w:bookmarkStart w:id="50" w:name="ref-ecmexico"/>
    <w:p>
      <w:pPr>
        <w:pStyle w:val="Bibliography"/>
      </w:pPr>
      <w:r>
        <w:t xml:space="preserve">Chávez, Juan Carlos, Marco T. Mosqueda, and Manuel Gómez-Zaldívar. 2017.</w:t>
      </w:r>
      <w:r>
        <w:t xml:space="preserve"> </w:t>
      </w:r>
      <w:r>
        <w:t xml:space="preserve">“Economic Complexity and Regional Growth Performance: Evidence from the Mexican Economy.”</w:t>
      </w:r>
      <w:r>
        <w:t xml:space="preserve"> </w:t>
      </w:r>
      <w:r>
        <w:rPr>
          <w:i/>
          <w:iCs/>
        </w:rPr>
        <w:t xml:space="preserve">Review of Regional Studies</w:t>
      </w:r>
      <w:r>
        <w:t xml:space="preserve"> </w:t>
      </w:r>
      <w:r>
        <w:t xml:space="preserve">47 (2): 201–19.</w:t>
      </w:r>
      <w:r>
        <w:t xml:space="preserve"> </w:t>
      </w:r>
      <w:hyperlink r:id="rId49">
        <w:r>
          <w:rPr>
            <w:rStyle w:val="Hyperlink"/>
          </w:rPr>
          <w:t xml:space="preserve">https://doi.org/10.52324/001c.8023</w:t>
        </w:r>
      </w:hyperlink>
      <w:r>
        <w:t xml:space="preserve">.</w:t>
      </w:r>
    </w:p>
    <w:bookmarkEnd w:id="50"/>
    <w:bookmarkStart w:id="52" w:name="ref-ecnz"/>
    <w:p>
      <w:pPr>
        <w:pStyle w:val="Bibliography"/>
      </w:pPr>
      <w:r>
        <w:t xml:space="preserve">Davies, Benjamin, and David C. Maré. 2021.</w:t>
      </w:r>
      <w:r>
        <w:t xml:space="preserve"> </w:t>
      </w:r>
      <w:r>
        <w:t xml:space="preserve">“Relatedness, Complexity and Local Growth.”</w:t>
      </w:r>
      <w:r>
        <w:t xml:space="preserve"> </w:t>
      </w:r>
      <w:r>
        <w:rPr>
          <w:i/>
          <w:iCs/>
        </w:rPr>
        <w:t xml:space="preserve">Regional Studies</w:t>
      </w:r>
      <w:r>
        <w:t xml:space="preserve"> </w:t>
      </w:r>
      <w:r>
        <w:t xml:space="preserve">55 (3): 479–94.</w:t>
      </w:r>
      <w:r>
        <w:t xml:space="preserve"> </w:t>
      </w:r>
      <w:hyperlink r:id="rId51">
        <w:r>
          <w:rPr>
            <w:rStyle w:val="Hyperlink"/>
          </w:rPr>
          <w:t xml:space="preserve">https://doi.org/10.1080/00343404.2020.1802418</w:t>
        </w:r>
      </w:hyperlink>
      <w:r>
        <w:t xml:space="preserve">.</w:t>
      </w:r>
    </w:p>
    <w:bookmarkEnd w:id="52"/>
    <w:bookmarkStart w:id="54" w:name="ref-ecus"/>
    <w:p>
      <w:pPr>
        <w:pStyle w:val="Bibliography"/>
      </w:pPr>
      <w:r>
        <w:t xml:space="preserve">Fritz, Benedikt S. L., and Robert A. Manduca. 2021.</w:t>
      </w:r>
      <w:r>
        <w:t xml:space="preserve"> </w:t>
      </w:r>
      <w:r>
        <w:t xml:space="preserve">“The Economic Complexity of US Metropolitan Areas.”</w:t>
      </w:r>
      <w:r>
        <w:t xml:space="preserve"> </w:t>
      </w:r>
      <w:r>
        <w:rPr>
          <w:i/>
          <w:iCs/>
        </w:rPr>
        <w:t xml:space="preserve">Regional Studies</w:t>
      </w:r>
      <w:r>
        <w:t xml:space="preserve"> </w:t>
      </w:r>
      <w:r>
        <w:t xml:space="preserve">55 (7): 1299–1310.</w:t>
      </w:r>
      <w:r>
        <w:t xml:space="preserve"> </w:t>
      </w:r>
      <w:hyperlink r:id="rId53">
        <w:r>
          <w:rPr>
            <w:rStyle w:val="Hyperlink"/>
          </w:rPr>
          <w:t xml:space="preserve">https://doi.org/10.1080/00343404.2021.1884215</w:t>
        </w:r>
      </w:hyperlink>
      <w:r>
        <w:t xml:space="preserve">.</w:t>
      </w:r>
    </w:p>
    <w:bookmarkEnd w:id="54"/>
    <w:bookmarkStart w:id="56" w:name="ref-ecchina"/>
    <w:p>
      <w:pPr>
        <w:pStyle w:val="Bibliography"/>
      </w:pPr>
      <w:r>
        <w:t xml:space="preserve">Gao, Jian, and Tao Zhou. 2018.</w:t>
      </w:r>
      <w:r>
        <w:t xml:space="preserve"> </w:t>
      </w:r>
      <w:r>
        <w:t xml:space="preserve">“Quantifying China’s Regional Economic Complexity.”</w:t>
      </w:r>
      <w:r>
        <w:t xml:space="preserve"> </w:t>
      </w:r>
      <w:r>
        <w:rPr>
          <w:i/>
          <w:iCs/>
        </w:rPr>
        <w:t xml:space="preserve">Physica A: Statistical Mechanics and Its Applications</w:t>
      </w:r>
      <w:r>
        <w:t xml:space="preserve"> </w:t>
      </w:r>
      <w:r>
        <w:t xml:space="preserve">492: 1591–1603. https://doi.org/</w:t>
      </w:r>
      <w:hyperlink r:id="rId55">
        <w:r>
          <w:rPr>
            <w:rStyle w:val="Hyperlink"/>
          </w:rPr>
          <w:t xml:space="preserve">https://doi.org/10.1016/j.physa.2017.11.084</w:t>
        </w:r>
      </w:hyperlink>
      <w:r>
        <w:t xml:space="preserve">.</w:t>
      </w:r>
    </w:p>
    <w:bookmarkEnd w:id="56"/>
    <w:bookmarkStart w:id="58" w:name="ref-guevara2016"/>
    <w:p>
      <w:pPr>
        <w:pStyle w:val="Bibliography"/>
      </w:pPr>
      <w:r>
        <w:t xml:space="preserve">Guevara, Miguel R., Dominik Hartmann, Manuel Aristarán, Marcelo Mendoza, and César A. Hidalgo. 2016.</w:t>
      </w:r>
      <w:r>
        <w:t xml:space="preserve"> </w:t>
      </w:r>
      <w:r>
        <w:t xml:space="preserve">“The Research Space: Using Career Paths to Predict the Evolution of the Research Output of Individuals, Institutions, and Nations.”</w:t>
      </w:r>
      <w:r>
        <w:t xml:space="preserve"> </w:t>
      </w:r>
      <w:r>
        <w:rPr>
          <w:i/>
          <w:iCs/>
        </w:rPr>
        <w:t xml:space="preserve">Scientometrics</w:t>
      </w:r>
      <w:r>
        <w:t xml:space="preserve"> </w:t>
      </w:r>
      <w:r>
        <w:t xml:space="preserve">109 (3): 1695–1709.</w:t>
      </w:r>
      <w:r>
        <w:t xml:space="preserve"> </w:t>
      </w:r>
      <w:hyperlink r:id="rId57">
        <w:r>
          <w:rPr>
            <w:rStyle w:val="Hyperlink"/>
          </w:rPr>
          <w:t xml:space="preserve">https://doi.org/10.1007/s11192-016-2125-9</w:t>
        </w:r>
      </w:hyperlink>
      <w:r>
        <w:t xml:space="preserve">.</w:t>
      </w:r>
    </w:p>
    <w:bookmarkEnd w:id="58"/>
    <w:bookmarkStart w:id="60" w:name="ref-hidalgo2007"/>
    <w:p>
      <w:pPr>
        <w:pStyle w:val="Bibliography"/>
      </w:pPr>
      <w:r>
        <w:t xml:space="preserve">Hidalgo, C. A., B. Klinger, A.-L. Barabaśi, and R. Hausmann. 2007.</w:t>
      </w:r>
      <w:r>
        <w:t xml:space="preserve"> </w:t>
      </w:r>
      <w:r>
        <w:t xml:space="preserve">“The Product Space Conditions the Development of Nations.”</w:t>
      </w:r>
      <w:r>
        <w:t xml:space="preserve"> </w:t>
      </w:r>
      <w:r>
        <w:rPr>
          <w:i/>
          <w:iCs/>
        </w:rPr>
        <w:t xml:space="preserve">Science</w:t>
      </w:r>
      <w:r>
        <w:t xml:space="preserve"> </w:t>
      </w:r>
      <w:r>
        <w:t xml:space="preserve">317 (5837): 482–87.</w:t>
      </w:r>
      <w:r>
        <w:t xml:space="preserve"> </w:t>
      </w:r>
      <w:hyperlink r:id="rId59">
        <w:r>
          <w:rPr>
            <w:rStyle w:val="Hyperlink"/>
          </w:rPr>
          <w:t xml:space="preserve">https://doi.org/10.1126/science.1144581</w:t>
        </w:r>
      </w:hyperlink>
      <w:r>
        <w:t xml:space="preserve">.</w:t>
      </w:r>
    </w:p>
    <w:bookmarkEnd w:id="60"/>
    <w:bookmarkStart w:id="62" w:name="ref-hidalgo2009"/>
    <w:p>
      <w:pPr>
        <w:pStyle w:val="Bibliography"/>
      </w:pPr>
      <w:r>
        <w:t xml:space="preserve">Hidalgo, César A., and Ricardo Hausmann. 2009.</w:t>
      </w:r>
      <w:r>
        <w:t xml:space="preserve"> </w:t>
      </w:r>
      <w:r>
        <w:t xml:space="preserve">“The Building Blocks of Economic Complexity.”</w:t>
      </w:r>
      <w:r>
        <w:t xml:space="preserve"> </w:t>
      </w:r>
      <w:r>
        <w:rPr>
          <w:i/>
          <w:iCs/>
        </w:rPr>
        <w:t xml:space="preserve">Proceedings of the National Academy of Sciences</w:t>
      </w:r>
      <w:r>
        <w:t xml:space="preserve"> </w:t>
      </w:r>
      <w:r>
        <w:t xml:space="preserve">106 (26): 10570–75.</w:t>
      </w:r>
      <w:r>
        <w:t xml:space="preserve"> </w:t>
      </w:r>
      <w:hyperlink r:id="rId61">
        <w:r>
          <w:rPr>
            <w:rStyle w:val="Hyperlink"/>
          </w:rPr>
          <w:t xml:space="preserve">https://doi.org/10.1073/pnas.0900943106</w:t>
        </w:r>
      </w:hyperlink>
      <w:r>
        <w:t xml:space="preserve">.</w:t>
      </w:r>
    </w:p>
    <w:bookmarkEnd w:id="62"/>
    <w:bookmarkStart w:id="64" w:name="ref-kogler2013"/>
    <w:p>
      <w:pPr>
        <w:pStyle w:val="Bibliography"/>
      </w:pPr>
      <w:r>
        <w:t xml:space="preserve">Kogler, Dieter F., David L. Rigby, and Isaac Tucker. 2013.</w:t>
      </w:r>
      <w:r>
        <w:t xml:space="preserve"> </w:t>
      </w:r>
      <w:r>
        <w:t xml:space="preserve">“Mapping Knowledge Space and Technological Relatedness in US Cities.”</w:t>
      </w:r>
      <w:r>
        <w:t xml:space="preserve"> </w:t>
      </w:r>
      <w:r>
        <w:rPr>
          <w:i/>
          <w:iCs/>
        </w:rPr>
        <w:t xml:space="preserve">European Planning Studies</w:t>
      </w:r>
      <w:r>
        <w:t xml:space="preserve"> </w:t>
      </w:r>
      <w:r>
        <w:t xml:space="preserve">21 (9): 1374–91.</w:t>
      </w:r>
      <w:r>
        <w:t xml:space="preserve"> </w:t>
      </w:r>
      <w:hyperlink r:id="rId63">
        <w:r>
          <w:rPr>
            <w:rStyle w:val="Hyperlink"/>
          </w:rPr>
          <w:t xml:space="preserve">https://doi.org/10.1080/09654313.2012.755832</w:t>
        </w:r>
      </w:hyperlink>
      <w:r>
        <w:t xml:space="preserve">.</w:t>
      </w:r>
    </w:p>
    <w:bookmarkEnd w:id="64"/>
    <w:bookmarkStart w:id="66" w:name="ref-muneepeerakul2013"/>
    <w:p>
      <w:pPr>
        <w:pStyle w:val="Bibliography"/>
      </w:pPr>
      <w:r>
        <w:t xml:space="preserve">Muneepeerakul, Rachata, José Lobo, Shade T. Shutters, Andrés Goméz-Liévano, and Murad R. Qubbaj. 2013.</w:t>
      </w:r>
      <w:r>
        <w:t xml:space="preserve"> </w:t>
      </w:r>
      <w:r>
        <w:t xml:space="preserve">“Urban Economies and Occupation Space: Can They Get</w:t>
      </w:r>
      <w:r>
        <w:t xml:space="preserve"> </w:t>
      </w:r>
      <w:r>
        <w:t xml:space="preserve">“</w:t>
      </w:r>
      <w:r>
        <w:t xml:space="preserve">There</w:t>
      </w:r>
      <w:r>
        <w:t xml:space="preserve">”</w:t>
      </w:r>
      <w:r>
        <w:t xml:space="preserve"> </w:t>
      </w:r>
      <w:r>
        <w:t xml:space="preserve">from</w:t>
      </w:r>
      <w:r>
        <w:t xml:space="preserve"> </w:t>
      </w:r>
      <w:r>
        <w:t xml:space="preserve">“</w:t>
      </w:r>
      <w:r>
        <w:t xml:space="preserve">Here</w:t>
      </w:r>
      <w:r>
        <w:t xml:space="preserve">”</w:t>
      </w:r>
      <w:r>
        <w:t xml:space="preserve">?”</w:t>
      </w:r>
      <w:r>
        <w:t xml:space="preserve"> Edited by César A. Hidalgo.</w:t>
      </w:r>
      <w:r>
        <w:t xml:space="preserve"> </w:t>
      </w:r>
      <w:r>
        <w:rPr>
          <w:i/>
          <w:iCs/>
        </w:rPr>
        <w:t xml:space="preserve">PLoS ONE</w:t>
      </w:r>
      <w:r>
        <w:t xml:space="preserve"> </w:t>
      </w:r>
      <w:r>
        <w:t xml:space="preserve">8 (9): e73676.</w:t>
      </w:r>
      <w:r>
        <w:t xml:space="preserve"> </w:t>
      </w:r>
      <w:hyperlink r:id="rId65">
        <w:r>
          <w:rPr>
            <w:rStyle w:val="Hyperlink"/>
          </w:rPr>
          <w:t xml:space="preserve">https://doi.org/10.1371/journal.pone.0073676</w:t>
        </w:r>
      </w:hyperlink>
      <w:r>
        <w:t xml:space="preserve">.</w:t>
      </w:r>
    </w:p>
    <w:bookmarkEnd w:id="66"/>
    <w:bookmarkStart w:id="68" w:name="ref-neffke2012"/>
    <w:p>
      <w:pPr>
        <w:pStyle w:val="Bibliography"/>
      </w:pPr>
      <w:r>
        <w:t xml:space="preserve">Neffke, Frank, and Martin Henning. 2012.</w:t>
      </w:r>
      <w:r>
        <w:t xml:space="preserve"> </w:t>
      </w:r>
      <w:r>
        <w:t xml:space="preserve">“Skill Relatedness and Firm Diversification.”</w:t>
      </w:r>
      <w:r>
        <w:t xml:space="preserve"> </w:t>
      </w:r>
      <w:r>
        <w:rPr>
          <w:i/>
          <w:iCs/>
        </w:rPr>
        <w:t xml:space="preserve">Strategic Management Journal</w:t>
      </w:r>
      <w:r>
        <w:t xml:space="preserve"> </w:t>
      </w:r>
      <w:r>
        <w:t xml:space="preserve">34 (3): 297–316.</w:t>
      </w:r>
      <w:r>
        <w:t xml:space="preserve"> </w:t>
      </w:r>
      <w:hyperlink r:id="rId67">
        <w:r>
          <w:rPr>
            <w:rStyle w:val="Hyperlink"/>
          </w:rPr>
          <w:t xml:space="preserve">https://doi.org/10.1002/smj.2014</w:t>
        </w:r>
      </w:hyperlink>
      <w:r>
        <w:t xml:space="preserve">.</w:t>
      </w:r>
    </w:p>
    <w:bookmarkEnd w:id="68"/>
    <w:bookmarkStart w:id="70" w:name="ref-ecaus"/>
    <w:p>
      <w:pPr>
        <w:pStyle w:val="Bibliography"/>
      </w:pPr>
      <w:r>
        <w:t xml:space="preserve">Reynolds, Christian, Manju Agrawal, Ivan Lee, Chen Zhan, Jiuyong Li, Phillip Taylor, Tim Mares, Julian Morison, Nicholas Angelakis, and Göran Roos. 2018.</w:t>
      </w:r>
      <w:r>
        <w:t xml:space="preserve"> </w:t>
      </w:r>
      <w:r>
        <w:t xml:space="preserve">“A Sub-National Economic Complexity Analysis of Australia’s States and Territories.”</w:t>
      </w:r>
      <w:r>
        <w:t xml:space="preserve"> </w:t>
      </w:r>
      <w:r>
        <w:rPr>
          <w:i/>
          <w:iCs/>
        </w:rPr>
        <w:t xml:space="preserve">Regional Studies</w:t>
      </w:r>
      <w:r>
        <w:t xml:space="preserve"> </w:t>
      </w:r>
      <w:r>
        <w:t xml:space="preserve">52 (5): 715–26.</w:t>
      </w:r>
      <w:r>
        <w:t xml:space="preserve"> </w:t>
      </w:r>
      <w:hyperlink r:id="rId69">
        <w:r>
          <w:rPr>
            <w:rStyle w:val="Hyperlink"/>
          </w:rPr>
          <w:t xml:space="preserve">https://doi.org/10.1080/00343404.2017.1283012</w:t>
        </w:r>
      </w:hyperlink>
      <w:r>
        <w:t xml:space="preserv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image" Id="rId34" Target="media/rId34.png" /><Relationship Type="http://schemas.openxmlformats.org/officeDocument/2006/relationships/hyperlink" Id="rId23" Target="https://aiti-flinders.github.io/sirp-complexity/index.qmd.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_rels/footnotes.xml.rels><?xml version="1.0" encoding="UTF-8"?><Relationships xmlns="http://schemas.openxmlformats.org/package/2006/relationships"><Relationship Type="http://schemas.openxmlformats.org/officeDocument/2006/relationships/hyperlink" Id="rId23" Target="https://aiti-flinders.github.io/sirp-complexity/index.qmd.html" TargetMode="External" /><Relationship Type="http://schemas.openxmlformats.org/officeDocument/2006/relationships/hyperlink" Id="rId67" Target="https://doi.org/10.1002/smj.2014" TargetMode="External" /><Relationship Type="http://schemas.openxmlformats.org/officeDocument/2006/relationships/hyperlink" Id="rId57" Target="https://doi.org/10.1007/s11192-016-2125-9" TargetMode="External" /><Relationship Type="http://schemas.openxmlformats.org/officeDocument/2006/relationships/hyperlink" Id="rId55" Target="https://doi.org/10.1016/j.physa.2017.11.084" TargetMode="External" /><Relationship Type="http://schemas.openxmlformats.org/officeDocument/2006/relationships/hyperlink" Id="rId61" Target="https://doi.org/10.1073/pnas.0900943106" TargetMode="External" /><Relationship Type="http://schemas.openxmlformats.org/officeDocument/2006/relationships/hyperlink" Id="rId69" Target="https://doi.org/10.1080/00343404.2017.1283012" TargetMode="External" /><Relationship Type="http://schemas.openxmlformats.org/officeDocument/2006/relationships/hyperlink" Id="rId51" Target="https://doi.org/10.1080/00343404.2020.1802418" TargetMode="External" /><Relationship Type="http://schemas.openxmlformats.org/officeDocument/2006/relationships/hyperlink" Id="rId53" Target="https://doi.org/10.1080/00343404.2021.1884215" TargetMode="External" /><Relationship Type="http://schemas.openxmlformats.org/officeDocument/2006/relationships/hyperlink" Id="rId47" Target="https://doi.org/10.1080/00343404.2021.1900557" TargetMode="External" /><Relationship Type="http://schemas.openxmlformats.org/officeDocument/2006/relationships/hyperlink" Id="rId63" Target="https://doi.org/10.1080/09654313.2012.755832" TargetMode="External" /><Relationship Type="http://schemas.openxmlformats.org/officeDocument/2006/relationships/hyperlink" Id="rId59" Target="https://doi.org/10.1126/science.1144581" TargetMode="External" /><Relationship Type="http://schemas.openxmlformats.org/officeDocument/2006/relationships/hyperlink" Id="rId65" Target="https://doi.org/10.1371/journal.pone.0073676" TargetMode="External" /><Relationship Type="http://schemas.openxmlformats.org/officeDocument/2006/relationships/hyperlink" Id="rId49" Target="https://doi.org/10.52324/001c.8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Complexity of Australian Regions</dc:title>
  <dc:creator>Hamish Gamble; Sharif Rasel</dc:creator>
  <cp:keywords>Economic Complexity, Advanced Manufacturing</cp:keywords>
  <dcterms:created xsi:type="dcterms:W3CDTF">2024-07-19T04:27:44Z</dcterms:created>
  <dcterms:modified xsi:type="dcterms:W3CDTF">2024-07-19T04:27:44Z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2024-07-19</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