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24.png" ContentType="image/png"/>
  <Override PartName="/word/media/rId34.png" ContentType="image/png"/>
  <Override PartName="/word/media/rId4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2024-07-23</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a positive predictor of Gross Domestic Product (GDP), and GDP growth. Increasing economic complexity has also been shown to decrease unemployment and increase employment</w:t>
      </w:r>
      <w:r>
        <w:t xml:space="preserve"> </w:t>
      </w:r>
      <w:r>
        <w:t xml:space="preserve">Adam et al. (2023)</w:t>
      </w:r>
      <w:r>
        <w:t xml:space="preserve">, reduce green house gas emissions</w:t>
      </w:r>
      <w:r>
        <w:t xml:space="preserve"> </w:t>
      </w:r>
      <w:r>
        <w:t xml:space="preserve">Romero and Gramkow (2021)</w:t>
      </w:r>
      <w:r>
        <w:t xml:space="preserve"> </w:t>
      </w:r>
      <w:r>
        <w:t xml:space="preserve">and reduce income inequality</w:t>
      </w:r>
      <w:r>
        <w:t xml:space="preserve"> </w:t>
      </w:r>
      <w:r>
        <w:t xml:space="preserve">Hartmann et al. (2017)</w:t>
      </w:r>
      <w:r>
        <w:t xml:space="preserve">.</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bookmarkStart w:id="21" w:name="Xc89687aceb20699ea851780566ab998bd2f0df1"/>
    <w:p>
      <w:pPr>
        <w:pStyle w:val="Heading3"/>
      </w:pPr>
      <w:r>
        <w:t xml:space="preserve">2.1 Regional economic complexity of small areas</w:t>
      </w:r>
    </w:p>
    <w:p>
      <w:pPr>
        <w:pStyle w:val="FirstParagraph"/>
      </w:pPr>
      <w:r>
        <w:t xml:space="preserve">The location quotient method can be unreliable due to the discontinuity at 1. This is especially relevant when economic complexity is calculated in regional areas where either</w:t>
      </w:r>
      <w:r>
        <w:t xml:space="preserve"> </w:t>
      </w:r>
      <m:oMath>
        <m:sSubSup>
          <m:e>
            <m:r>
              <m:t>X</m:t>
            </m:r>
          </m:e>
          <m:sub>
            <m:r>
              <m:t>a</m:t>
            </m:r>
          </m:sub>
          <m:sup>
            <m:r>
              <m:t>r</m:t>
            </m:r>
          </m:sup>
        </m:sSubSup>
      </m:oMath>
      <w:r>
        <w:t xml:space="preserve"> </w:t>
      </w:r>
      <w:r>
        <w:t xml:space="preserve">or</w:t>
      </w:r>
      <w:r>
        <w:t xml:space="preserve"> </w:t>
      </w:r>
      <m:oMath>
        <m:f>
          <m:fPr>
            <m:type m:val="bar"/>
          </m:fPr>
          <m:num>
            <m:nary>
              <m:naryPr>
                <m:chr m:val="∑"/>
                <m:limLoc m:val="undOvr"/>
                <m:subHide m:val="off"/>
                <m:supHide m:val="on"/>
              </m:naryPr>
              <m:sub>
                <m:r>
                  <m:t>r</m:t>
                </m:r>
              </m:sub>
              <m:sup>
                <m:r>
                  <m:t>​</m:t>
                </m:r>
              </m:sup>
              <m:e>
                <m:sSubSup>
                  <m:e>
                    <m:r>
                      <m:t>X</m:t>
                    </m:r>
                  </m:e>
                  <m:sub>
                    <m:r>
                      <m:t>a</m:t>
                    </m:r>
                  </m:sub>
                  <m:sup>
                    <m:r>
                      <m:t>r</m:t>
                    </m:r>
                  </m:sup>
                </m:sSubSup>
              </m:e>
            </m:nary>
          </m:num>
          <m:den>
            <m:nary>
              <m:naryPr>
                <m:chr m:val="∑"/>
                <m:limLoc m:val="undOvr"/>
                <m:subHide m:val="off"/>
                <m:supHide m:val="on"/>
              </m:naryPr>
              <m:sub>
                <m:r>
                  <m:t>r</m:t>
                </m:r>
                <m:r>
                  <m:rPr>
                    <m:sty m:val="p"/>
                  </m:rPr>
                  <m:t>,</m:t>
                </m:r>
                <m:r>
                  <m:t>a</m:t>
                </m:r>
              </m:sub>
              <m:sup>
                <m:r>
                  <m:t>​</m:t>
                </m:r>
              </m:sup>
              <m:e>
                <m:sSubSup>
                  <m:e>
                    <m:r>
                      <m:t>X</m:t>
                    </m:r>
                  </m:e>
                  <m:sub>
                    <m:r>
                      <m:t>a</m:t>
                    </m:r>
                  </m:sub>
                  <m:sup>
                    <m:r>
                      <m:t>r</m:t>
                    </m:r>
                  </m:sup>
                </m:sSubSup>
              </m:e>
            </m:nary>
          </m:den>
        </m:f>
      </m:oMath>
      <w:r>
        <w:t xml:space="preserve"> </w:t>
      </w:r>
      <w:r>
        <w:t xml:space="preserve">are small. In these cases, small changes, or measurement error in</w:t>
      </w:r>
      <w:r>
        <w:t xml:space="preserve"> </w:t>
      </w:r>
      <m:oMath>
        <m:sSubSup>
          <m:e>
            <m:r>
              <m:t>X</m:t>
            </m:r>
          </m:e>
          <m:sub>
            <m:r>
              <m:t>a</m:t>
            </m:r>
          </m:sub>
          <m:sup>
            <m:r>
              <m:t>r</m:t>
            </m:r>
          </m:sup>
        </m:sSubSup>
      </m:oMath>
      <w:r>
        <w:t xml:space="preserve"> </w:t>
      </w:r>
      <w:r>
        <w:t xml:space="preserve">can significantly change the location quotient.</w:t>
      </w:r>
    </w:p>
    <w:p>
      <w:pPr>
        <w:pStyle w:val="BodyText"/>
      </w:pPr>
      <w:r>
        <w:t xml:space="preserve">The choice of region size and activity classification is important. In a study of the economic complexity of US regions,</w:t>
      </w:r>
      <w:r>
        <w:t xml:space="preserve"> </w:t>
      </w:r>
      <w:r>
        <w:t xml:space="preserve">Fritz and Manduca (2021)</w:t>
      </w:r>
      <w:r>
        <w:t xml:space="preserve"> </w:t>
      </w:r>
      <w:r>
        <w:t xml:space="preserve">use metropolitan areas as the basis for calculations. Metropolitan areas in the United States are defined such that jobs within a given area are held by residents who live in that area.Metropolitan areas have a population of at least 50,000 people. The smallest MSA was estimated to have a 2023 population of 57,700 (about 0.015% of US population). They find a poor correlation between ECI calculated at higher level aggregated industry classifications indicating the importance of a high degree of disaggregation to provide as much information to the model as possible</w:t>
      </w:r>
      <w:r>
        <w:t xml:space="preserve"> </w:t>
      </w:r>
      <w:r>
        <w:t xml:space="preserve">Fritz and Manduca (2021)</w:t>
      </w:r>
      <w:r>
        <w:t xml:space="preserve">.</w:t>
      </w:r>
    </w:p>
    <w:p>
      <w:pPr>
        <w:pStyle w:val="BodyText"/>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pStyle w:val="Compact"/>
        <w:numPr>
          <w:ilvl w:val="0"/>
          <w:numId w:val="1001"/>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2"/>
        </w:numPr>
      </w:pPr>
      <w:r>
        <w:t xml:space="preserve">Calculate economic complexity indicators for Australian regions using employment data from the 2021 Census.</w:t>
      </w:r>
    </w:p>
    <w:p>
      <w:pPr>
        <w:numPr>
          <w:ilvl w:val="0"/>
          <w:numId w:val="1002"/>
        </w:numPr>
      </w:pPr>
      <w:r>
        <w:t xml:space="preserve">Regions classified by Statistical Areas Level 3 (SA3)</w:t>
      </w:r>
    </w:p>
    <w:p>
      <w:pPr>
        <w:numPr>
          <w:ilvl w:val="0"/>
          <w:numId w:val="1002"/>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3"/>
        </w:numPr>
      </w:pPr>
      <w:r>
        <w:t xml:space="preserve">We exclude individuals who identify their place of work as a Migratory - Offshore - Shipping region or as No Fixed Address. Employment in these regions totals 497,913 or about 4% of the total sample.</w:t>
      </w:r>
    </w:p>
    <w:p>
      <w:pPr>
        <w:numPr>
          <w:ilvl w:val="0"/>
          <w:numId w:val="1003"/>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3"/>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 with 88.5% of all combinations of region, industry, and occupation.</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5334000" cy="3287447"/>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4"/>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5"/>
        </w:numPr>
      </w:pPr>
      <w:r>
        <w:t xml:space="preserve">Divide the weighted covariance by the city share-weighted standard deviations of the local activity shares to get the weighted correlation.</w:t>
      </w:r>
    </w:p>
    <w:p>
      <w:pPr>
        <w:numPr>
          <w:ilvl w:val="0"/>
          <w:numId w:val="1005"/>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56"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5334000" cy="3287447"/>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39" w:name="regression"/>
    <w:p>
      <w:pPr>
        <w:pStyle w:val="Heading3"/>
      </w:pPr>
      <w:r>
        <w:t xml:space="preserve">4.1 Regression</w:t>
      </w:r>
    </w:p>
    <w:p>
      <w:pPr>
        <w:numPr>
          <w:ilvl w:val="0"/>
          <w:numId w:val="1006"/>
        </w:numPr>
      </w:pPr>
      <w:r>
        <w:t xml:space="preserve">Independent variables:</w:t>
      </w:r>
    </w:p>
    <w:p>
      <w:pPr>
        <w:numPr>
          <w:ilvl w:val="1"/>
          <w:numId w:val="1007"/>
        </w:numPr>
      </w:pPr>
      <w:r>
        <w:t xml:space="preserve">share of businesses (state)</w:t>
      </w:r>
    </w:p>
    <w:p>
      <w:pPr>
        <w:numPr>
          <w:ilvl w:val="1"/>
          <w:numId w:val="1007"/>
        </w:numPr>
      </w:pPr>
      <w:r>
        <w:t xml:space="preserve">population (usual residence)</w:t>
      </w:r>
    </w:p>
    <w:p>
      <w:pPr>
        <w:numPr>
          <w:ilvl w:val="1"/>
          <w:numId w:val="1007"/>
        </w:numPr>
      </w:pPr>
      <w:r>
        <w:t xml:space="preserve">business entries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888"/>
        <w:gridCol w:w="1389"/>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total_employment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business_share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r>
      <w:tr>
        <w:trPr>
          <w:trHeight w:val="612"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median_hh_inc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9"/>
    <w:bookmarkStart w:id="55" w:name="spatial-correlation"/>
    <w:p>
      <w:pPr>
        <w:pStyle w:val="Heading3"/>
      </w:pPr>
      <w:r>
        <w:t xml:space="preserve">4.2 Spatial Correlation</w:t>
      </w:r>
    </w:p>
    <w:p>
      <w:pPr>
        <w:numPr>
          <w:ilvl w:val="0"/>
          <w:numId w:val="1008"/>
        </w:numPr>
      </w:pPr>
      <w:r>
        <w:t xml:space="preserve">Based on</w:t>
      </w:r>
      <w:r>
        <w:t xml:space="preserve"> </w:t>
      </w:r>
      <w:hyperlink w:anchor="fig-gcc-complexity">
        <w:r>
          <w:rPr>
            <w:rStyle w:val="Hyperlink"/>
          </w:rPr>
          <w:t xml:space="preserve">Figure 2</w:t>
        </w:r>
      </w:hyperlink>
      <w:r>
        <w:t xml:space="preserve">, it looks like there are clusters of complexity, centred around capital cities.</w:t>
      </w:r>
    </w:p>
    <w:p>
      <w:pPr>
        <w:numPr>
          <w:ilvl w:val="0"/>
          <w:numId w:val="1008"/>
        </w:numPr>
      </w:pPr>
      <w:hyperlink w:anchor="fig-residuals-map">
        <w:r>
          <w:rPr>
            <w:rStyle w:val="Hyperlink"/>
          </w:rPr>
          <w:t xml:space="preserve">Figure 3</w:t>
        </w:r>
      </w:hyperlink>
      <w:r>
        <w:t xml:space="preserve"> </w:t>
      </w:r>
      <w:r>
        <w:t xml:space="preserve">shows the residuals from the linear regression.</w:t>
      </w:r>
    </w:p>
    <w:bookmarkStart w:id="44" w:name="cell-fig-residuals-map"/>
    <w:tbl>
      <w:tblPr>
        <w:tblStyle w:val="Table"/>
        <w:tblW w:type="pct" w:w="5000"/>
        <w:tblLayout w:type="fixed"/>
        <w:tblLook w:firstRow="0" w:lastRow="0" w:firstColumn="0" w:lastColumn="0" w:noHBand="0" w:noVBand="0" w:val="0000"/>
      </w:tblPr>
      <w:tblGrid>
        <w:gridCol w:w="7920"/>
      </w:tblGrid>
      <w:tr>
        <w:tc>
          <w:tcPr/>
          <w:bookmarkStart w:id="43" w:name="fig-residuals-map"/>
          <w:p>
            <w:pPr>
              <w:pStyle w:val="Compact"/>
              <w:jc w:val="center"/>
            </w:pPr>
            <w:r>
              <w:drawing>
                <wp:inline>
                  <wp:extent cx="5334000" cy="3287447"/>
                  <wp:effectExtent b="0" l="0" r="0" t="0"/>
                  <wp:docPr descr="" title="" id="41" name="Picture"/>
                  <a:graphic>
                    <a:graphicData uri="http://schemas.openxmlformats.org/drawingml/2006/picture">
                      <pic:pic>
                        <pic:nvPicPr>
                          <pic:cNvPr descr="index_files/figure-docx/fig-residuals-map-1.png" id="42" name="Picture"/>
                          <pic:cNvPicPr>
                            <a:picLocks noChangeArrowheads="1" noChangeAspect="1"/>
                          </pic:cNvPicPr>
                        </pic:nvPicPr>
                        <pic:blipFill>
                          <a:blip r:embed="rId40"/>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Residuals from linear regression</w:t>
            </w:r>
          </w:p>
          <w:bookmarkEnd w:id="43"/>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4"/>
    <w:p>
      <w:pPr>
        <w:pStyle w:val="Compact"/>
        <w:numPr>
          <w:ilvl w:val="0"/>
          <w:numId w:val="1009"/>
        </w:numPr>
      </w:pPr>
      <w:r>
        <w:t xml:space="preserve">Is economic complexity correlated across space?</w:t>
      </w:r>
    </w:p>
    <w:bookmarkStart w:id="49" w:name="cell-fig-moran-plot"/>
    <w:tbl>
      <w:tblPr>
        <w:tblStyle w:val="Table"/>
        <w:tblW w:type="pct" w:w="5000"/>
        <w:tblLayout w:type="fixed"/>
        <w:tblLook w:firstRow="0" w:lastRow="0" w:firstColumn="0" w:lastColumn="0" w:noHBand="0" w:noVBand="0" w:val="0000"/>
      </w:tblPr>
      <w:tblGrid>
        <w:gridCol w:w="7920"/>
      </w:tblGrid>
      <w:tr>
        <w:tc>
          <w:tcPr/>
          <w:bookmarkStart w:id="48" w:name="fig-moran-plot"/>
          <w:p>
            <w:pPr>
              <w:pStyle w:val="Compact"/>
              <w:jc w:val="center"/>
            </w:pPr>
            <w:r>
              <w:drawing>
                <wp:inline>
                  <wp:extent cx="5334000" cy="3287447"/>
                  <wp:effectExtent b="0" l="0" r="0" t="0"/>
                  <wp:docPr descr="" title="" id="46" name="Picture"/>
                  <a:graphic>
                    <a:graphicData uri="http://schemas.openxmlformats.org/drawingml/2006/picture">
                      <pic:pic>
                        <pic:nvPicPr>
                          <pic:cNvPr descr="index_files/figure-docx/fig-moran-plot-1.png" id="47" name="Picture"/>
                          <pic:cNvPicPr>
                            <a:picLocks noChangeArrowheads="1" noChangeAspect="1"/>
                          </pic:cNvPicPr>
                        </pic:nvPicPr>
                        <pic:blipFill>
                          <a:blip r:embed="rId4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Moran Scatterplot for City Complexity in Australia</w:t>
            </w:r>
          </w:p>
          <w:bookmarkEnd w:id="48"/>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9"/>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10"/>
        </w:numPr>
      </w:pPr>
      <w:r>
        <w:t xml:space="preserve">Global Moran’s I = 0.5007756 with a p.value of 0.</w:t>
      </w:r>
    </w:p>
    <w:bookmarkStart w:id="54" w:name="cell-fig-complexity-hot-spots"/>
    <w:tbl>
      <w:tblPr>
        <w:tblStyle w:val="Table"/>
        <w:tblW w:type="pct" w:w="5000"/>
        <w:tblLayout w:type="fixed"/>
        <w:tblLook w:firstRow="0" w:lastRow="0" w:firstColumn="0" w:lastColumn="0" w:noHBand="0" w:noVBand="0" w:val="0000"/>
      </w:tblPr>
      <w:tblGrid>
        <w:gridCol w:w="7920"/>
      </w:tblGrid>
      <w:tr>
        <w:tc>
          <w:tcPr/>
          <w:bookmarkStart w:id="53" w:name="fig-complexity-hot-spots"/>
          <w:p>
            <w:pPr>
              <w:pStyle w:val="Compact"/>
              <w:jc w:val="center"/>
            </w:pPr>
            <w:r>
              <w:drawing>
                <wp:inline>
                  <wp:extent cx="5334000" cy="3287447"/>
                  <wp:effectExtent b="0" l="0" r="0" t="0"/>
                  <wp:docPr descr="" title="" id="51" name="Picture"/>
                  <a:graphic>
                    <a:graphicData uri="http://schemas.openxmlformats.org/drawingml/2006/picture">
                      <pic:pic>
                        <pic:nvPicPr>
                          <pic:cNvPr descr="index_files/figure-docx/fig-complexity-hot-spots-1.png" id="52" name="Picture"/>
                          <pic:cNvPicPr>
                            <a:picLocks noChangeArrowheads="1" noChangeAspect="1"/>
                          </pic:cNvPicPr>
                        </pic:nvPicPr>
                        <pic:blipFill>
                          <a:blip r:embed="rId50"/>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City Complexity hot spots (based on local Moran’s I p.values)</w:t>
            </w:r>
          </w:p>
          <w:bookmarkEnd w:id="53"/>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4"/>
    <w:bookmarkEnd w:id="55"/>
    <w:bookmarkEnd w:id="56"/>
    <w:bookmarkStart w:id="57" w:name="conclusion"/>
    <w:p>
      <w:pPr>
        <w:pStyle w:val="Heading2"/>
      </w:pPr>
      <w:r>
        <w:t xml:space="preserve">5 Conclusion</w:t>
      </w:r>
    </w:p>
    <w:bookmarkEnd w:id="57"/>
    <w:bookmarkStart w:id="89" w:name="references"/>
    <w:p>
      <w:pPr>
        <w:pStyle w:val="Heading2"/>
      </w:pPr>
      <w:r>
        <w:t xml:space="preserve">References</w:t>
      </w:r>
    </w:p>
    <w:bookmarkStart w:id="88" w:name="refs"/>
    <w:bookmarkStart w:id="59" w:name="ref-adam2023"/>
    <w:p>
      <w:pPr>
        <w:pStyle w:val="Bibliography"/>
      </w:pPr>
      <w:r>
        <w:t xml:space="preserve">Adam, Antonis, Antonios Garas, Marina-Selini Katsaiti, and Athanasios Lapatinas. 2023.</w:t>
      </w:r>
      <w:r>
        <w:t xml:space="preserve"> </w:t>
      </w:r>
      <w:r>
        <w:t xml:space="preserve">“Economic Complexity and Jobs: An Empirical Analysis.”</w:t>
      </w:r>
      <w:r>
        <w:t xml:space="preserve"> </w:t>
      </w:r>
      <w:r>
        <w:rPr>
          <w:i/>
          <w:iCs/>
        </w:rPr>
        <w:t xml:space="preserve">Economics of Innovation and New Technology</w:t>
      </w:r>
      <w:r>
        <w:t xml:space="preserve"> </w:t>
      </w:r>
      <w:r>
        <w:t xml:space="preserve">32 (1): 25–52.</w:t>
      </w:r>
      <w:r>
        <w:t xml:space="preserve"> </w:t>
      </w:r>
      <w:hyperlink r:id="rId58">
        <w:r>
          <w:rPr>
            <w:rStyle w:val="Hyperlink"/>
          </w:rPr>
          <w:t xml:space="preserve">https://doi.org/10.1080/10438599.2020.1859751</w:t>
        </w:r>
      </w:hyperlink>
      <w:r>
        <w:t xml:space="preserve">.</w:t>
      </w:r>
    </w:p>
    <w:bookmarkEnd w:id="59"/>
    <w:bookmarkStart w:id="61"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60">
        <w:r>
          <w:rPr>
            <w:rStyle w:val="Hyperlink"/>
          </w:rPr>
          <w:t xml:space="preserve">https://doi.org/10.1080/00343404.2021.1900557</w:t>
        </w:r>
      </w:hyperlink>
      <w:r>
        <w:t xml:space="preserve">.</w:t>
      </w:r>
    </w:p>
    <w:bookmarkEnd w:id="61"/>
    <w:bookmarkStart w:id="63"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62">
        <w:r>
          <w:rPr>
            <w:rStyle w:val="Hyperlink"/>
          </w:rPr>
          <w:t xml:space="preserve">https://doi.org/10.52324/001c.8023</w:t>
        </w:r>
      </w:hyperlink>
      <w:r>
        <w:t xml:space="preserve">.</w:t>
      </w:r>
    </w:p>
    <w:bookmarkEnd w:id="63"/>
    <w:bookmarkStart w:id="65"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64">
        <w:r>
          <w:rPr>
            <w:rStyle w:val="Hyperlink"/>
          </w:rPr>
          <w:t xml:space="preserve">https://doi.org/10.1080/00343404.2020.1802418</w:t>
        </w:r>
      </w:hyperlink>
      <w:r>
        <w:t xml:space="preserve">.</w:t>
      </w:r>
    </w:p>
    <w:bookmarkEnd w:id="65"/>
    <w:bookmarkStart w:id="67"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66">
        <w:r>
          <w:rPr>
            <w:rStyle w:val="Hyperlink"/>
          </w:rPr>
          <w:t xml:space="preserve">https://doi.org/10.1080/00343404.2021.1884215</w:t>
        </w:r>
      </w:hyperlink>
      <w:r>
        <w:t xml:space="preserve">.</w:t>
      </w:r>
    </w:p>
    <w:bookmarkEnd w:id="67"/>
    <w:bookmarkStart w:id="69"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68">
        <w:r>
          <w:rPr>
            <w:rStyle w:val="Hyperlink"/>
          </w:rPr>
          <w:t xml:space="preserve">https://doi.org/10.1016/j.physa.2017.11.084</w:t>
        </w:r>
      </w:hyperlink>
      <w:r>
        <w:t xml:space="preserve">.</w:t>
      </w:r>
    </w:p>
    <w:bookmarkEnd w:id="69"/>
    <w:bookmarkStart w:id="71"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70">
        <w:r>
          <w:rPr>
            <w:rStyle w:val="Hyperlink"/>
          </w:rPr>
          <w:t xml:space="preserve">https://doi.org/10.1007/s11192-016-2125-9</w:t>
        </w:r>
      </w:hyperlink>
      <w:r>
        <w:t xml:space="preserve">.</w:t>
      </w:r>
    </w:p>
    <w:bookmarkEnd w:id="71"/>
    <w:bookmarkStart w:id="73" w:name="ref-hartmann2017"/>
    <w:p>
      <w:pPr>
        <w:pStyle w:val="Bibliography"/>
      </w:pPr>
      <w:r>
        <w:t xml:space="preserve">Hartmann, Dominik, Miguel R. Guevara, Cristian Jara-Figueroa, Manuel Aristarán, and César A. Hidalgo. 2017.</w:t>
      </w:r>
      <w:r>
        <w:t xml:space="preserve"> </w:t>
      </w:r>
      <w:r>
        <w:t xml:space="preserve">“Linking Economic Complexity, Institutions, and Income Inequality.”</w:t>
      </w:r>
      <w:r>
        <w:t xml:space="preserve"> </w:t>
      </w:r>
      <w:r>
        <w:rPr>
          <w:i/>
          <w:iCs/>
        </w:rPr>
        <w:t xml:space="preserve">World Development</w:t>
      </w:r>
      <w:r>
        <w:t xml:space="preserve"> </w:t>
      </w:r>
      <w:r>
        <w:t xml:space="preserve">93 (May): 75–93.</w:t>
      </w:r>
      <w:r>
        <w:t xml:space="preserve"> </w:t>
      </w:r>
      <w:hyperlink r:id="rId72">
        <w:r>
          <w:rPr>
            <w:rStyle w:val="Hyperlink"/>
          </w:rPr>
          <w:t xml:space="preserve">https://doi.org/10.1016/j.worlddev.2016.12.020</w:t>
        </w:r>
      </w:hyperlink>
      <w:r>
        <w:t xml:space="preserve">.</w:t>
      </w:r>
    </w:p>
    <w:bookmarkEnd w:id="73"/>
    <w:bookmarkStart w:id="75"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74">
        <w:r>
          <w:rPr>
            <w:rStyle w:val="Hyperlink"/>
          </w:rPr>
          <w:t xml:space="preserve">https://doi.org/10.1126/science.1144581</w:t>
        </w:r>
      </w:hyperlink>
      <w:r>
        <w:t xml:space="preserve">.</w:t>
      </w:r>
    </w:p>
    <w:bookmarkEnd w:id="75"/>
    <w:bookmarkStart w:id="77"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76">
        <w:r>
          <w:rPr>
            <w:rStyle w:val="Hyperlink"/>
          </w:rPr>
          <w:t xml:space="preserve">https://doi.org/10.1073/pnas.0900943106</w:t>
        </w:r>
      </w:hyperlink>
      <w:r>
        <w:t xml:space="preserve">.</w:t>
      </w:r>
    </w:p>
    <w:bookmarkEnd w:id="77"/>
    <w:bookmarkStart w:id="79"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78">
        <w:r>
          <w:rPr>
            <w:rStyle w:val="Hyperlink"/>
          </w:rPr>
          <w:t xml:space="preserve">https://doi.org/10.1080/09654313.2012.755832</w:t>
        </w:r>
      </w:hyperlink>
      <w:r>
        <w:t xml:space="preserve">.</w:t>
      </w:r>
    </w:p>
    <w:bookmarkEnd w:id="79"/>
    <w:bookmarkStart w:id="81"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80">
        <w:r>
          <w:rPr>
            <w:rStyle w:val="Hyperlink"/>
          </w:rPr>
          <w:t xml:space="preserve">https://doi.org/10.1371/journal.pone.0073676</w:t>
        </w:r>
      </w:hyperlink>
      <w:r>
        <w:t xml:space="preserve">.</w:t>
      </w:r>
    </w:p>
    <w:bookmarkEnd w:id="81"/>
    <w:bookmarkStart w:id="83"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82">
        <w:r>
          <w:rPr>
            <w:rStyle w:val="Hyperlink"/>
          </w:rPr>
          <w:t xml:space="preserve">https://doi.org/10.1002/smj.2014</w:t>
        </w:r>
      </w:hyperlink>
      <w:r>
        <w:t xml:space="preserve">.</w:t>
      </w:r>
    </w:p>
    <w:bookmarkEnd w:id="83"/>
    <w:bookmarkStart w:id="85"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84">
        <w:r>
          <w:rPr>
            <w:rStyle w:val="Hyperlink"/>
          </w:rPr>
          <w:t xml:space="preserve">https://doi.org/10.1080/00343404.2017.1283012</w:t>
        </w:r>
      </w:hyperlink>
      <w:r>
        <w:t xml:space="preserve">.</w:t>
      </w:r>
    </w:p>
    <w:bookmarkEnd w:id="85"/>
    <w:bookmarkStart w:id="87" w:name="ref-romero2021"/>
    <w:p>
      <w:pPr>
        <w:pStyle w:val="Bibliography"/>
      </w:pPr>
      <w:r>
        <w:t xml:space="preserve">Romero, João P., and Camila Gramkow. 2021.</w:t>
      </w:r>
      <w:r>
        <w:t xml:space="preserve"> </w:t>
      </w:r>
      <w:r>
        <w:t xml:space="preserve">“Economic Complexity and Greenhouse Gas Emissions.”</w:t>
      </w:r>
      <w:r>
        <w:t xml:space="preserve"> </w:t>
      </w:r>
      <w:r>
        <w:rPr>
          <w:i/>
          <w:iCs/>
        </w:rPr>
        <w:t xml:space="preserve">World Development</w:t>
      </w:r>
      <w:r>
        <w:t xml:space="preserve"> </w:t>
      </w:r>
      <w:r>
        <w:t xml:space="preserve">139 (March): 105317.</w:t>
      </w:r>
      <w:r>
        <w:t xml:space="preserve"> </w:t>
      </w:r>
      <w:hyperlink r:id="rId86">
        <w:r>
          <w:rPr>
            <w:rStyle w:val="Hyperlink"/>
          </w:rPr>
          <w:t xml:space="preserve">https://doi.org/10.1016/j.worlddev.2020.105317</w:t>
        </w:r>
      </w:hyperlink>
      <w:r>
        <w:t xml:space="preserve">.</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hyperlink" Id="rId23" Target="https://aiti-flinders.github.io/sirp-complexity/index.qmd.html" TargetMode="External" /><Relationship Type="http://schemas.openxmlformats.org/officeDocument/2006/relationships/hyperlink" Id="rId82" Target="https://doi.org/10.1002/smj.2014" TargetMode="External" /><Relationship Type="http://schemas.openxmlformats.org/officeDocument/2006/relationships/hyperlink" Id="rId70" Target="https://doi.org/10.1007/s11192-016-2125-9" TargetMode="External" /><Relationship Type="http://schemas.openxmlformats.org/officeDocument/2006/relationships/hyperlink" Id="rId68" Target="https://doi.org/10.1016/j.physa.2017.11.084" TargetMode="External" /><Relationship Type="http://schemas.openxmlformats.org/officeDocument/2006/relationships/hyperlink" Id="rId72" Target="https://doi.org/10.1016/j.worlddev.2016.12.020" TargetMode="External" /><Relationship Type="http://schemas.openxmlformats.org/officeDocument/2006/relationships/hyperlink" Id="rId86" Target="https://doi.org/10.1016/j.worlddev.2020.105317" TargetMode="External" /><Relationship Type="http://schemas.openxmlformats.org/officeDocument/2006/relationships/hyperlink" Id="rId76" Target="https://doi.org/10.1073/pnas.0900943106" TargetMode="External" /><Relationship Type="http://schemas.openxmlformats.org/officeDocument/2006/relationships/hyperlink" Id="rId84" Target="https://doi.org/10.1080/00343404.2017.1283012" TargetMode="External" /><Relationship Type="http://schemas.openxmlformats.org/officeDocument/2006/relationships/hyperlink" Id="rId64" Target="https://doi.org/10.1080/00343404.2020.1802418" TargetMode="External" /><Relationship Type="http://schemas.openxmlformats.org/officeDocument/2006/relationships/hyperlink" Id="rId66" Target="https://doi.org/10.1080/00343404.2021.1884215" TargetMode="External" /><Relationship Type="http://schemas.openxmlformats.org/officeDocument/2006/relationships/hyperlink" Id="rId60" Target="https://doi.org/10.1080/00343404.2021.1900557" TargetMode="External" /><Relationship Type="http://schemas.openxmlformats.org/officeDocument/2006/relationships/hyperlink" Id="rId78" Target="https://doi.org/10.1080/09654313.2012.755832" TargetMode="External" /><Relationship Type="http://schemas.openxmlformats.org/officeDocument/2006/relationships/hyperlink" Id="rId58" Target="https://doi.org/10.1080/10438599.2020.1859751" TargetMode="External" /><Relationship Type="http://schemas.openxmlformats.org/officeDocument/2006/relationships/hyperlink" Id="rId74" Target="https://doi.org/10.1126/science.1144581" TargetMode="External" /><Relationship Type="http://schemas.openxmlformats.org/officeDocument/2006/relationships/hyperlink" Id="rId80" Target="https://doi.org/10.1371/journal.pone.0073676" TargetMode="External" /><Relationship Type="http://schemas.openxmlformats.org/officeDocument/2006/relationships/hyperlink" Id="rId62"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qmd.html" TargetMode="External" /><Relationship Type="http://schemas.openxmlformats.org/officeDocument/2006/relationships/hyperlink" Id="rId82" Target="https://doi.org/10.1002/smj.2014" TargetMode="External" /><Relationship Type="http://schemas.openxmlformats.org/officeDocument/2006/relationships/hyperlink" Id="rId70" Target="https://doi.org/10.1007/s11192-016-2125-9" TargetMode="External" /><Relationship Type="http://schemas.openxmlformats.org/officeDocument/2006/relationships/hyperlink" Id="rId68" Target="https://doi.org/10.1016/j.physa.2017.11.084" TargetMode="External" /><Relationship Type="http://schemas.openxmlformats.org/officeDocument/2006/relationships/hyperlink" Id="rId72" Target="https://doi.org/10.1016/j.worlddev.2016.12.020" TargetMode="External" /><Relationship Type="http://schemas.openxmlformats.org/officeDocument/2006/relationships/hyperlink" Id="rId86" Target="https://doi.org/10.1016/j.worlddev.2020.105317" TargetMode="External" /><Relationship Type="http://schemas.openxmlformats.org/officeDocument/2006/relationships/hyperlink" Id="rId76" Target="https://doi.org/10.1073/pnas.0900943106" TargetMode="External" /><Relationship Type="http://schemas.openxmlformats.org/officeDocument/2006/relationships/hyperlink" Id="rId84" Target="https://doi.org/10.1080/00343404.2017.1283012" TargetMode="External" /><Relationship Type="http://schemas.openxmlformats.org/officeDocument/2006/relationships/hyperlink" Id="rId64" Target="https://doi.org/10.1080/00343404.2020.1802418" TargetMode="External" /><Relationship Type="http://schemas.openxmlformats.org/officeDocument/2006/relationships/hyperlink" Id="rId66" Target="https://doi.org/10.1080/00343404.2021.1884215" TargetMode="External" /><Relationship Type="http://schemas.openxmlformats.org/officeDocument/2006/relationships/hyperlink" Id="rId60" Target="https://doi.org/10.1080/00343404.2021.1900557" TargetMode="External" /><Relationship Type="http://schemas.openxmlformats.org/officeDocument/2006/relationships/hyperlink" Id="rId78" Target="https://doi.org/10.1080/09654313.2012.755832" TargetMode="External" /><Relationship Type="http://schemas.openxmlformats.org/officeDocument/2006/relationships/hyperlink" Id="rId58" Target="https://doi.org/10.1080/10438599.2020.1859751" TargetMode="External" /><Relationship Type="http://schemas.openxmlformats.org/officeDocument/2006/relationships/hyperlink" Id="rId74" Target="https://doi.org/10.1126/science.1144581" TargetMode="External" /><Relationship Type="http://schemas.openxmlformats.org/officeDocument/2006/relationships/hyperlink" Id="rId80" Target="https://doi.org/10.1371/journal.pone.0073676" TargetMode="External" /><Relationship Type="http://schemas.openxmlformats.org/officeDocument/2006/relationships/hyperlink" Id="rId62"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2024-07-23T03:40:30Z</dcterms:created>
  <dcterms:modified xsi:type="dcterms:W3CDTF">2024-07-23T03:40:30Z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